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03B77" w14:textId="111DDB89" w:rsidR="008D0078" w:rsidRPr="004C436C" w:rsidRDefault="007C2D86" w:rsidP="004D2353">
      <w:pPr>
        <w:jc w:val="center"/>
        <w:rPr>
          <w:b/>
          <w:bCs/>
          <w:color w:val="000000" w:themeColor="text1"/>
          <w:lang w:val="es-ES"/>
        </w:rPr>
      </w:pPr>
      <w:r w:rsidRPr="004C436C">
        <w:rPr>
          <w:b/>
          <w:bCs/>
          <w:color w:val="000000" w:themeColor="text1"/>
          <w:lang w:val="es-ES"/>
        </w:rPr>
        <w:t xml:space="preserve"> </w:t>
      </w:r>
      <w:r w:rsidR="004D2353" w:rsidRPr="004C436C">
        <w:rPr>
          <w:b/>
          <w:bCs/>
          <w:color w:val="000000" w:themeColor="text1"/>
          <w:lang w:val="es-ES"/>
        </w:rPr>
        <w:t>PROTOCOLO DE MEDIDAS DE PREVENCIÓN Y VIGILANCIA EPIDEMIOLÓGICA (</w:t>
      </w:r>
      <w:r w:rsidR="007E7FC3" w:rsidRPr="004C436C">
        <w:rPr>
          <w:b/>
          <w:bCs/>
          <w:color w:val="000000" w:themeColor="text1"/>
          <w:lang w:val="es-ES"/>
        </w:rPr>
        <w:t>MARZO 2023</w:t>
      </w:r>
      <w:r w:rsidR="004D2353" w:rsidRPr="004C436C">
        <w:rPr>
          <w:b/>
          <w:bCs/>
          <w:color w:val="000000" w:themeColor="text1"/>
          <w:lang w:val="es-ES"/>
        </w:rPr>
        <w:t>)</w:t>
      </w:r>
    </w:p>
    <w:p w14:paraId="311B5223" w14:textId="09093F3D" w:rsidR="004D2353" w:rsidRPr="004C436C" w:rsidRDefault="004D2353" w:rsidP="0057503A">
      <w:pPr>
        <w:jc w:val="both"/>
        <w:rPr>
          <w:b/>
          <w:bCs/>
          <w:color w:val="000000" w:themeColor="text1"/>
          <w:lang w:val="es-ES"/>
        </w:rPr>
      </w:pPr>
    </w:p>
    <w:p w14:paraId="60B343D5" w14:textId="4F12A33E" w:rsidR="00D25C4B" w:rsidRPr="004C436C" w:rsidRDefault="0057503A" w:rsidP="00D25C4B">
      <w:pPr>
        <w:jc w:val="both"/>
        <w:rPr>
          <w:b/>
          <w:bCs/>
          <w:color w:val="000000" w:themeColor="text1"/>
          <w:lang w:val="es-ES"/>
        </w:rPr>
      </w:pPr>
      <w:r w:rsidRPr="004C436C">
        <w:rPr>
          <w:b/>
          <w:bCs/>
          <w:color w:val="000000" w:themeColor="text1"/>
          <w:lang w:val="es-ES"/>
        </w:rPr>
        <w:t>El presente Protocolo contiene las actualizaciones indicadas por el MINEDUC en concordancia con las recomendaciones del MINSAL, cuya vigencia se establece desde el 1 de octubre</w:t>
      </w:r>
      <w:r w:rsidR="00647BCE" w:rsidRPr="004C436C">
        <w:rPr>
          <w:b/>
          <w:bCs/>
          <w:color w:val="000000" w:themeColor="text1"/>
          <w:lang w:val="es-ES"/>
        </w:rPr>
        <w:t xml:space="preserve"> de 2022</w:t>
      </w:r>
      <w:r w:rsidRPr="004C436C">
        <w:rPr>
          <w:b/>
          <w:bCs/>
          <w:color w:val="000000" w:themeColor="text1"/>
          <w:lang w:val="es-ES"/>
        </w:rPr>
        <w:t>.</w:t>
      </w:r>
    </w:p>
    <w:p w14:paraId="26A1015E" w14:textId="77777777" w:rsidR="0057503A" w:rsidRPr="004C436C" w:rsidRDefault="0057503A" w:rsidP="00D25C4B">
      <w:pPr>
        <w:jc w:val="both"/>
        <w:rPr>
          <w:b/>
          <w:bCs/>
          <w:color w:val="000000" w:themeColor="text1"/>
          <w:lang w:val="es-ES"/>
        </w:rPr>
      </w:pPr>
    </w:p>
    <w:p w14:paraId="1CD7D4C2" w14:textId="049808D0" w:rsidR="00D25C4B" w:rsidRPr="004C436C" w:rsidRDefault="009D75AE" w:rsidP="004D2353">
      <w:pPr>
        <w:jc w:val="both"/>
        <w:rPr>
          <w:b/>
          <w:bCs/>
          <w:color w:val="000000" w:themeColor="text1"/>
          <w:lang w:val="es-ES"/>
        </w:rPr>
      </w:pPr>
      <w:r w:rsidRPr="004C436C">
        <w:rPr>
          <w:b/>
          <w:bCs/>
          <w:color w:val="000000" w:themeColor="text1"/>
          <w:lang w:val="es-ES"/>
        </w:rPr>
        <w:t xml:space="preserve">I.- </w:t>
      </w:r>
      <w:r w:rsidR="00D25C4B" w:rsidRPr="004C436C">
        <w:rPr>
          <w:b/>
          <w:bCs/>
          <w:color w:val="000000" w:themeColor="text1"/>
          <w:lang w:val="es-ES"/>
        </w:rPr>
        <w:t>MEDIDAS SANITARIAS Y ACTIVIDADES PRESENCIALES</w:t>
      </w:r>
      <w:r w:rsidR="0057503A" w:rsidRPr="004C436C">
        <w:rPr>
          <w:b/>
          <w:bCs/>
          <w:color w:val="000000" w:themeColor="text1"/>
          <w:lang w:val="es-ES"/>
        </w:rPr>
        <w:t>:</w:t>
      </w:r>
    </w:p>
    <w:p w14:paraId="7DFE05EE" w14:textId="62A16C98" w:rsidR="00920101" w:rsidRPr="004C436C" w:rsidRDefault="00920101" w:rsidP="004D2353">
      <w:pPr>
        <w:jc w:val="both"/>
        <w:rPr>
          <w:color w:val="000000" w:themeColor="text1"/>
          <w:lang w:val="es-ES"/>
        </w:rPr>
      </w:pPr>
      <w:r w:rsidRPr="004C436C">
        <w:rPr>
          <w:color w:val="000000" w:themeColor="text1"/>
          <w:lang w:val="es-ES"/>
        </w:rPr>
        <w:t>CLASES Y ACTIVIDADES PRESENCIALES:</w:t>
      </w:r>
    </w:p>
    <w:p w14:paraId="0A553D9D" w14:textId="2E057D14" w:rsidR="0057503A" w:rsidRPr="004C436C" w:rsidRDefault="0057503A" w:rsidP="0057503A">
      <w:pPr>
        <w:spacing w:after="0" w:line="240" w:lineRule="auto"/>
        <w:jc w:val="both"/>
        <w:rPr>
          <w:color w:val="000000" w:themeColor="text1"/>
          <w:lang w:val="es-ES"/>
        </w:rPr>
      </w:pPr>
      <w:r w:rsidRPr="004C436C">
        <w:rPr>
          <w:color w:val="000000" w:themeColor="text1"/>
          <w:lang w:val="es-ES"/>
        </w:rPr>
        <w:t>- Los establecimientos de educación deben realizar actividades y clases presenciales.</w:t>
      </w:r>
    </w:p>
    <w:p w14:paraId="239C445B" w14:textId="6F3EE554" w:rsidR="0057503A" w:rsidRPr="004C436C" w:rsidRDefault="0057503A" w:rsidP="0057503A">
      <w:pPr>
        <w:spacing w:after="0" w:line="240" w:lineRule="auto"/>
        <w:jc w:val="both"/>
        <w:rPr>
          <w:color w:val="000000" w:themeColor="text1"/>
          <w:lang w:val="es-ES"/>
        </w:rPr>
      </w:pPr>
      <w:r w:rsidRPr="004C436C">
        <w:rPr>
          <w:color w:val="000000" w:themeColor="text1"/>
          <w:lang w:val="es-ES"/>
        </w:rPr>
        <w:t>- La asistencia presencial es obligatoria.</w:t>
      </w:r>
    </w:p>
    <w:p w14:paraId="5AF0AE8A" w14:textId="5E64DB0B" w:rsidR="004E0D5E" w:rsidRPr="004C436C" w:rsidRDefault="004E0D5E" w:rsidP="0057503A">
      <w:pPr>
        <w:spacing w:after="0" w:line="240" w:lineRule="auto"/>
        <w:jc w:val="both"/>
        <w:rPr>
          <w:color w:val="000000" w:themeColor="text1"/>
          <w:lang w:val="es-ES"/>
        </w:rPr>
      </w:pPr>
    </w:p>
    <w:p w14:paraId="5E3418F3" w14:textId="042CEDF2" w:rsidR="004E0D5E" w:rsidRPr="004C436C" w:rsidRDefault="004E0D5E" w:rsidP="0057503A">
      <w:pPr>
        <w:spacing w:after="0" w:line="240" w:lineRule="auto"/>
        <w:jc w:val="both"/>
        <w:rPr>
          <w:color w:val="000000" w:themeColor="text1"/>
          <w:lang w:val="es-ES"/>
        </w:rPr>
      </w:pPr>
      <w:r w:rsidRPr="004C436C">
        <w:rPr>
          <w:color w:val="000000" w:themeColor="text1"/>
          <w:lang w:val="es-ES"/>
        </w:rPr>
        <w:t xml:space="preserve"> DISTANCIA FÍSICA Y AFOROS:</w:t>
      </w:r>
    </w:p>
    <w:p w14:paraId="17719E51" w14:textId="7CD3449E" w:rsidR="004E0D5E" w:rsidRPr="004C436C" w:rsidRDefault="004E0D5E" w:rsidP="0057503A">
      <w:pPr>
        <w:spacing w:after="0" w:line="240" w:lineRule="auto"/>
        <w:jc w:val="both"/>
        <w:rPr>
          <w:color w:val="000000" w:themeColor="text1"/>
          <w:lang w:val="es-ES"/>
        </w:rPr>
      </w:pPr>
    </w:p>
    <w:p w14:paraId="4FFC4E45" w14:textId="196B3F4C" w:rsidR="004E0D5E" w:rsidRPr="004C436C" w:rsidRDefault="004E0D5E" w:rsidP="0057503A">
      <w:pPr>
        <w:spacing w:after="0" w:line="240" w:lineRule="auto"/>
        <w:jc w:val="both"/>
        <w:rPr>
          <w:color w:val="000000" w:themeColor="text1"/>
          <w:lang w:val="es-ES"/>
        </w:rPr>
      </w:pPr>
      <w:r w:rsidRPr="004C436C">
        <w:rPr>
          <w:color w:val="000000" w:themeColor="text1"/>
          <w:lang w:val="es-ES"/>
        </w:rPr>
        <w:t>- Se elimina la restricción de aforos, propiciando el distanciamiento en las actividades cotidianas, siempre que esto sea posible.</w:t>
      </w:r>
    </w:p>
    <w:p w14:paraId="01BCE98B" w14:textId="4DBCD5AB" w:rsidR="004E0D5E" w:rsidRPr="004C436C" w:rsidRDefault="004E0D5E" w:rsidP="0057503A">
      <w:pPr>
        <w:spacing w:after="0" w:line="240" w:lineRule="auto"/>
        <w:jc w:val="both"/>
        <w:rPr>
          <w:color w:val="000000" w:themeColor="text1"/>
          <w:lang w:val="es-ES"/>
        </w:rPr>
      </w:pPr>
    </w:p>
    <w:p w14:paraId="605DE18D" w14:textId="1035CA84" w:rsidR="004E0D5E" w:rsidRPr="004C436C" w:rsidRDefault="004E0D5E" w:rsidP="0057503A">
      <w:pPr>
        <w:spacing w:after="0" w:line="240" w:lineRule="auto"/>
        <w:jc w:val="both"/>
        <w:rPr>
          <w:color w:val="000000" w:themeColor="text1"/>
          <w:lang w:val="es-ES"/>
        </w:rPr>
      </w:pPr>
      <w:r w:rsidRPr="004C436C">
        <w:rPr>
          <w:color w:val="000000" w:themeColor="text1"/>
          <w:lang w:val="es-ES"/>
        </w:rPr>
        <w:t xml:space="preserve"> MEDIDAS DE PREVENCIÓN VIGENTES:</w:t>
      </w:r>
    </w:p>
    <w:p w14:paraId="4650484A" w14:textId="10F211FB" w:rsidR="004E0D5E" w:rsidRPr="004C436C" w:rsidRDefault="004E0D5E" w:rsidP="0057503A">
      <w:pPr>
        <w:spacing w:after="0" w:line="240" w:lineRule="auto"/>
        <w:jc w:val="both"/>
        <w:rPr>
          <w:color w:val="000000" w:themeColor="text1"/>
          <w:lang w:val="es-ES"/>
        </w:rPr>
      </w:pPr>
    </w:p>
    <w:p w14:paraId="31A88E85" w14:textId="7458511B" w:rsidR="004E0D5E" w:rsidRPr="004C436C" w:rsidRDefault="004E0D5E" w:rsidP="0057503A">
      <w:pPr>
        <w:spacing w:after="0" w:line="240" w:lineRule="auto"/>
        <w:jc w:val="both"/>
        <w:rPr>
          <w:color w:val="000000" w:themeColor="text1"/>
          <w:lang w:val="es-ES"/>
        </w:rPr>
      </w:pPr>
      <w:r w:rsidRPr="004C436C">
        <w:rPr>
          <w:color w:val="000000" w:themeColor="text1"/>
          <w:lang w:val="es-ES"/>
        </w:rPr>
        <w:t>- Se debe mantener la ventilación en las salas de clase y espacios comunes, manteniendo al menos una puerta o ventana abierta. De ser posible y si las condiciones climáticas lo permiten, se debe mantener una ventilación cruzada</w:t>
      </w:r>
      <w:r w:rsidR="009F6D4D" w:rsidRPr="004C436C">
        <w:rPr>
          <w:color w:val="000000" w:themeColor="text1"/>
          <w:lang w:val="es-ES"/>
        </w:rPr>
        <w:t>, de modo que se genere una corriente de aire.</w:t>
      </w:r>
    </w:p>
    <w:p w14:paraId="7B2C6813" w14:textId="71A19710" w:rsidR="00AA3BA9" w:rsidRPr="004C436C" w:rsidRDefault="00AA3BA9" w:rsidP="0057503A">
      <w:pPr>
        <w:spacing w:after="0" w:line="240" w:lineRule="auto"/>
        <w:jc w:val="both"/>
        <w:rPr>
          <w:color w:val="000000" w:themeColor="text1"/>
          <w:lang w:val="es-ES"/>
        </w:rPr>
      </w:pPr>
    </w:p>
    <w:p w14:paraId="5F2D2BE2" w14:textId="60D397C7" w:rsidR="00AA3BA9" w:rsidRPr="004C436C" w:rsidRDefault="00AA3BA9" w:rsidP="0057503A">
      <w:pPr>
        <w:spacing w:after="0" w:line="240" w:lineRule="auto"/>
        <w:jc w:val="both"/>
        <w:rPr>
          <w:color w:val="000000" w:themeColor="text1"/>
          <w:lang w:val="es-ES"/>
        </w:rPr>
      </w:pPr>
      <w:r w:rsidRPr="004C436C">
        <w:rPr>
          <w:color w:val="000000" w:themeColor="text1"/>
          <w:lang w:val="es-ES"/>
        </w:rPr>
        <w:t xml:space="preserve">- No es obligatorio el uso de mascarilla, sin </w:t>
      </w:r>
      <w:proofErr w:type="gramStart"/>
      <w:r w:rsidRPr="004C436C">
        <w:rPr>
          <w:color w:val="000000" w:themeColor="text1"/>
          <w:lang w:val="es-ES"/>
        </w:rPr>
        <w:t>embargo</w:t>
      </w:r>
      <w:proofErr w:type="gramEnd"/>
      <w:r w:rsidRPr="004C436C">
        <w:rPr>
          <w:color w:val="000000" w:themeColor="text1"/>
          <w:lang w:val="es-ES"/>
        </w:rPr>
        <w:t xml:space="preserve"> si algún apoderado lo considera pertinente, su pupilo(a) la puede seguir usando. En caso de presentar síntomas de alguna enfermedad infecto</w:t>
      </w:r>
      <w:r w:rsidR="001B2287" w:rsidRPr="004C436C">
        <w:rPr>
          <w:color w:val="000000" w:themeColor="text1"/>
          <w:lang w:val="es-ES"/>
        </w:rPr>
        <w:t xml:space="preserve">contagiosa, es altamente recomendable su uso. </w:t>
      </w:r>
    </w:p>
    <w:p w14:paraId="59CFF8C5" w14:textId="77777777" w:rsidR="00BB1647" w:rsidRPr="004C436C" w:rsidRDefault="00BB1647" w:rsidP="0057503A">
      <w:pPr>
        <w:spacing w:after="0" w:line="240" w:lineRule="auto"/>
        <w:jc w:val="both"/>
        <w:rPr>
          <w:color w:val="000000" w:themeColor="text1"/>
          <w:lang w:val="es-ES"/>
        </w:rPr>
      </w:pPr>
    </w:p>
    <w:p w14:paraId="5989A7A0" w14:textId="551CFC16" w:rsidR="00BB1647" w:rsidRPr="004C436C" w:rsidRDefault="00BB1647" w:rsidP="0057503A">
      <w:pPr>
        <w:spacing w:after="0" w:line="240" w:lineRule="auto"/>
        <w:jc w:val="both"/>
        <w:rPr>
          <w:color w:val="000000" w:themeColor="text1"/>
          <w:lang w:val="es-ES"/>
        </w:rPr>
      </w:pPr>
      <w:r w:rsidRPr="004C436C">
        <w:rPr>
          <w:color w:val="000000" w:themeColor="text1"/>
          <w:lang w:val="es-ES"/>
        </w:rPr>
        <w:t xml:space="preserve">- </w:t>
      </w:r>
      <w:r w:rsidR="00683003" w:rsidRPr="004C436C">
        <w:rPr>
          <w:color w:val="000000" w:themeColor="text1"/>
          <w:lang w:val="es-ES"/>
        </w:rPr>
        <w:t xml:space="preserve">Todos los miembros </w:t>
      </w:r>
      <w:r w:rsidR="00E60D3C" w:rsidRPr="004C436C">
        <w:rPr>
          <w:color w:val="000000" w:themeColor="text1"/>
          <w:lang w:val="es-ES"/>
        </w:rPr>
        <w:t xml:space="preserve">de la Comunidad Educativa deben procurar </w:t>
      </w:r>
      <w:r w:rsidR="00EC6918" w:rsidRPr="004C436C">
        <w:rPr>
          <w:color w:val="000000" w:themeColor="text1"/>
          <w:lang w:val="es-ES"/>
        </w:rPr>
        <w:t xml:space="preserve">lavarse las manos </w:t>
      </w:r>
      <w:r w:rsidR="00B67453" w:rsidRPr="004C436C">
        <w:rPr>
          <w:color w:val="000000" w:themeColor="text1"/>
          <w:lang w:val="es-ES"/>
        </w:rPr>
        <w:t>con jabón o uso de alcohol gel cada dos o tres horas.</w:t>
      </w:r>
    </w:p>
    <w:p w14:paraId="5C40CE12" w14:textId="77777777" w:rsidR="00B67453" w:rsidRPr="004C436C" w:rsidRDefault="00B67453" w:rsidP="0057503A">
      <w:pPr>
        <w:spacing w:after="0" w:line="240" w:lineRule="auto"/>
        <w:jc w:val="both"/>
        <w:rPr>
          <w:color w:val="000000" w:themeColor="text1"/>
          <w:lang w:val="es-ES"/>
        </w:rPr>
      </w:pPr>
    </w:p>
    <w:p w14:paraId="0EB600A3" w14:textId="003D89A6" w:rsidR="00E614A4" w:rsidRPr="004C436C" w:rsidRDefault="00E614A4" w:rsidP="0057503A">
      <w:pPr>
        <w:spacing w:after="0" w:line="240" w:lineRule="auto"/>
        <w:jc w:val="both"/>
        <w:rPr>
          <w:color w:val="000000" w:themeColor="text1"/>
          <w:lang w:val="es-ES"/>
        </w:rPr>
      </w:pPr>
      <w:r w:rsidRPr="004C436C">
        <w:rPr>
          <w:color w:val="000000" w:themeColor="text1"/>
          <w:lang w:val="es-ES"/>
        </w:rPr>
        <w:t>- Los apoderados deben estar atentos a la aparición de síntomas de COVID-19</w:t>
      </w:r>
      <w:r w:rsidR="00F37231" w:rsidRPr="004C436C">
        <w:rPr>
          <w:color w:val="000000" w:themeColor="text1"/>
          <w:lang w:val="es-ES"/>
        </w:rPr>
        <w:t xml:space="preserve"> en sus pupilos y ante la sospecha, </w:t>
      </w:r>
      <w:r w:rsidR="00477CD7" w:rsidRPr="004C436C">
        <w:rPr>
          <w:color w:val="000000" w:themeColor="text1"/>
          <w:lang w:val="es-ES"/>
        </w:rPr>
        <w:t>no enviarlos al colegio hasta ser evaluado</w:t>
      </w:r>
      <w:r w:rsidR="00D0292B" w:rsidRPr="004C436C">
        <w:rPr>
          <w:color w:val="000000" w:themeColor="text1"/>
          <w:lang w:val="es-ES"/>
        </w:rPr>
        <w:t>s</w:t>
      </w:r>
      <w:r w:rsidR="00477CD7" w:rsidRPr="004C436C">
        <w:rPr>
          <w:color w:val="000000" w:themeColor="text1"/>
          <w:lang w:val="es-ES"/>
        </w:rPr>
        <w:t xml:space="preserve"> por un profesional de la Salud. </w:t>
      </w:r>
    </w:p>
    <w:p w14:paraId="7883C77E" w14:textId="0D4BFC75" w:rsidR="00420682" w:rsidRPr="004C436C" w:rsidRDefault="00420682" w:rsidP="0057503A">
      <w:pPr>
        <w:spacing w:after="0" w:line="240" w:lineRule="auto"/>
        <w:jc w:val="both"/>
        <w:rPr>
          <w:color w:val="000000" w:themeColor="text1"/>
          <w:lang w:val="es-ES"/>
        </w:rPr>
      </w:pPr>
    </w:p>
    <w:p w14:paraId="7DB66717" w14:textId="1968E6BA" w:rsidR="00420682" w:rsidRPr="004C436C" w:rsidRDefault="00420682" w:rsidP="00420682">
      <w:pPr>
        <w:pStyle w:val="Prrafodelista"/>
        <w:numPr>
          <w:ilvl w:val="0"/>
          <w:numId w:val="4"/>
        </w:numPr>
        <w:spacing w:after="0" w:line="240" w:lineRule="auto"/>
        <w:jc w:val="both"/>
        <w:rPr>
          <w:b/>
          <w:bCs/>
          <w:color w:val="000000" w:themeColor="text1"/>
          <w:lang w:val="es-ES"/>
        </w:rPr>
      </w:pPr>
      <w:r w:rsidRPr="004C436C">
        <w:rPr>
          <w:b/>
          <w:bCs/>
          <w:color w:val="000000" w:themeColor="text1"/>
          <w:lang w:val="es-ES"/>
        </w:rPr>
        <w:t>En caso de que un estudiante presente un resultado positivo de un test PCR o de antígenos realizado en un centro de salud</w:t>
      </w:r>
      <w:r w:rsidR="002302BB" w:rsidRPr="004C436C">
        <w:rPr>
          <w:b/>
          <w:bCs/>
          <w:color w:val="000000" w:themeColor="text1"/>
          <w:lang w:val="es-ES"/>
        </w:rPr>
        <w:t xml:space="preserve"> habilitado por la autoridad sanitaria, </w:t>
      </w:r>
      <w:r w:rsidR="0084012C" w:rsidRPr="004C436C">
        <w:rPr>
          <w:b/>
          <w:bCs/>
          <w:color w:val="000000" w:themeColor="text1"/>
          <w:lang w:val="es-ES"/>
        </w:rPr>
        <w:t xml:space="preserve">debe comunicarse </w:t>
      </w:r>
      <w:r w:rsidR="00E31BF1" w:rsidRPr="004C436C">
        <w:rPr>
          <w:b/>
          <w:bCs/>
          <w:color w:val="000000" w:themeColor="text1"/>
          <w:lang w:val="es-ES"/>
        </w:rPr>
        <w:t xml:space="preserve">de inmediato con el profesor o profesora jefe y enviarle </w:t>
      </w:r>
      <w:r w:rsidR="003B718A" w:rsidRPr="004C436C">
        <w:rPr>
          <w:b/>
          <w:bCs/>
          <w:color w:val="000000" w:themeColor="text1"/>
          <w:lang w:val="es-ES"/>
        </w:rPr>
        <w:t xml:space="preserve">el documento que certifica dicho resultado. </w:t>
      </w:r>
      <w:r w:rsidR="009E2C0B" w:rsidRPr="004C436C">
        <w:rPr>
          <w:b/>
          <w:bCs/>
          <w:color w:val="000000" w:themeColor="text1"/>
          <w:lang w:val="es-ES"/>
        </w:rPr>
        <w:t xml:space="preserve">El profesor o profesora jefe, le pedirá información </w:t>
      </w:r>
      <w:r w:rsidR="004E3DEB" w:rsidRPr="004C436C">
        <w:rPr>
          <w:b/>
          <w:bCs/>
          <w:color w:val="000000" w:themeColor="text1"/>
          <w:lang w:val="es-ES"/>
        </w:rPr>
        <w:t xml:space="preserve">para completar el formulario de datos que se utilizará para informar del caso a las autoridades de salud y de educación. </w:t>
      </w:r>
    </w:p>
    <w:p w14:paraId="6E335A83" w14:textId="77777777" w:rsidR="00A902EA" w:rsidRPr="004C436C" w:rsidRDefault="00A902EA" w:rsidP="0057503A">
      <w:pPr>
        <w:spacing w:after="0" w:line="240" w:lineRule="auto"/>
        <w:jc w:val="both"/>
        <w:rPr>
          <w:color w:val="000000" w:themeColor="text1"/>
          <w:lang w:val="es-ES"/>
        </w:rPr>
      </w:pPr>
    </w:p>
    <w:p w14:paraId="5F2618BD" w14:textId="4DF1C46C" w:rsidR="00A902EA" w:rsidRDefault="00A902EA" w:rsidP="0057503A">
      <w:pPr>
        <w:spacing w:after="0" w:line="240" w:lineRule="auto"/>
        <w:jc w:val="both"/>
        <w:rPr>
          <w:b/>
          <w:bCs/>
          <w:color w:val="000000" w:themeColor="text1"/>
          <w:lang w:val="es-ES"/>
        </w:rPr>
      </w:pPr>
      <w:r w:rsidRPr="004C436C">
        <w:rPr>
          <w:b/>
          <w:bCs/>
          <w:color w:val="000000" w:themeColor="text1"/>
          <w:lang w:val="es-ES"/>
        </w:rPr>
        <w:t xml:space="preserve">II.- </w:t>
      </w:r>
      <w:r w:rsidR="009D75AE" w:rsidRPr="004C436C">
        <w:rPr>
          <w:b/>
          <w:bCs/>
          <w:color w:val="000000" w:themeColor="text1"/>
          <w:lang w:val="es-ES"/>
        </w:rPr>
        <w:t xml:space="preserve">PROTOCOLO DE VIGILANCIA EPIDEMIOLÓGICA, INVESTIGACIÓN DE BROTES </w:t>
      </w:r>
      <w:r w:rsidR="00601883" w:rsidRPr="004C436C">
        <w:rPr>
          <w:b/>
          <w:bCs/>
          <w:color w:val="000000" w:themeColor="text1"/>
          <w:lang w:val="es-ES"/>
        </w:rPr>
        <w:t>Y MEDIDAS SANITARIAS</w:t>
      </w:r>
    </w:p>
    <w:p w14:paraId="2E3CBF0D" w14:textId="77777777" w:rsidR="00D338F6" w:rsidRDefault="00D338F6" w:rsidP="0057503A">
      <w:pPr>
        <w:spacing w:after="0" w:line="240" w:lineRule="auto"/>
        <w:jc w:val="both"/>
        <w:rPr>
          <w:b/>
          <w:bCs/>
          <w:color w:val="000000" w:themeColor="text1"/>
          <w:lang w:val="es-ES"/>
        </w:rPr>
      </w:pPr>
    </w:p>
    <w:p w14:paraId="45D94E84" w14:textId="77777777" w:rsidR="00D338F6" w:rsidRDefault="00D338F6" w:rsidP="0057503A">
      <w:pPr>
        <w:spacing w:after="0" w:line="240" w:lineRule="auto"/>
        <w:jc w:val="both"/>
        <w:rPr>
          <w:b/>
          <w:bCs/>
          <w:color w:val="000000" w:themeColor="text1"/>
          <w:lang w:val="es-ES"/>
        </w:rPr>
      </w:pPr>
    </w:p>
    <w:p w14:paraId="47C3A589" w14:textId="77777777" w:rsidR="00D338F6" w:rsidRPr="004C436C" w:rsidRDefault="00D338F6" w:rsidP="0057503A">
      <w:pPr>
        <w:spacing w:after="0" w:line="240" w:lineRule="auto"/>
        <w:jc w:val="both"/>
        <w:rPr>
          <w:b/>
          <w:bCs/>
          <w:color w:val="000000" w:themeColor="text1"/>
          <w:lang w:val="es-ES"/>
        </w:rPr>
      </w:pPr>
    </w:p>
    <w:p w14:paraId="6032CCAD" w14:textId="77777777" w:rsidR="00D0292B" w:rsidRPr="004C436C" w:rsidRDefault="00D0292B" w:rsidP="0057503A">
      <w:pPr>
        <w:spacing w:after="0" w:line="240" w:lineRule="auto"/>
        <w:jc w:val="both"/>
        <w:rPr>
          <w:color w:val="000000" w:themeColor="text1"/>
          <w:lang w:val="es-ES"/>
        </w:rPr>
      </w:pPr>
    </w:p>
    <w:p w14:paraId="3119CC55" w14:textId="1ED1F2B9" w:rsidR="00601883" w:rsidRPr="00D338F6" w:rsidRDefault="00601883" w:rsidP="0057503A">
      <w:pPr>
        <w:spacing w:after="0" w:line="240" w:lineRule="auto"/>
        <w:jc w:val="both"/>
        <w:rPr>
          <w:b/>
          <w:bCs/>
          <w:color w:val="000000" w:themeColor="text1"/>
          <w:lang w:val="es-ES"/>
        </w:rPr>
      </w:pPr>
      <w:r w:rsidRPr="00D338F6">
        <w:rPr>
          <w:b/>
          <w:bCs/>
          <w:color w:val="000000" w:themeColor="text1"/>
          <w:lang w:val="es-ES"/>
        </w:rPr>
        <w:t>- DEFINICIONES DE CASOS:</w:t>
      </w:r>
    </w:p>
    <w:p w14:paraId="5133FA57" w14:textId="77777777" w:rsidR="00986768" w:rsidRPr="004C436C" w:rsidRDefault="00986768" w:rsidP="0057503A">
      <w:pPr>
        <w:spacing w:after="0" w:line="240" w:lineRule="auto"/>
        <w:jc w:val="both"/>
        <w:rPr>
          <w:color w:val="000000" w:themeColor="text1"/>
          <w:lang w:val="es-ES"/>
        </w:rPr>
      </w:pPr>
    </w:p>
    <w:tbl>
      <w:tblPr>
        <w:tblStyle w:val="Tablaconcuadrcula"/>
        <w:tblW w:w="0" w:type="auto"/>
        <w:tblLook w:val="04A0" w:firstRow="1" w:lastRow="0" w:firstColumn="1" w:lastColumn="0" w:noHBand="0" w:noVBand="1"/>
      </w:tblPr>
      <w:tblGrid>
        <w:gridCol w:w="4414"/>
        <w:gridCol w:w="4414"/>
      </w:tblGrid>
      <w:tr w:rsidR="004C436C" w:rsidRPr="004C436C" w14:paraId="14B32863" w14:textId="77777777" w:rsidTr="00DF2BF4">
        <w:tc>
          <w:tcPr>
            <w:tcW w:w="4414" w:type="dxa"/>
          </w:tcPr>
          <w:p w14:paraId="318DA612" w14:textId="469492CD" w:rsidR="00DF2BF4" w:rsidRPr="004C436C" w:rsidRDefault="00441656" w:rsidP="00401D34">
            <w:pPr>
              <w:jc w:val="both"/>
              <w:rPr>
                <w:b/>
                <w:bCs/>
                <w:color w:val="000000" w:themeColor="text1"/>
                <w:lang w:val="es-ES"/>
              </w:rPr>
            </w:pPr>
            <w:r w:rsidRPr="004C436C">
              <w:rPr>
                <w:b/>
                <w:bCs/>
                <w:color w:val="000000" w:themeColor="text1"/>
                <w:lang w:val="es-ES"/>
              </w:rPr>
              <w:t>Tipo de caso</w:t>
            </w:r>
          </w:p>
        </w:tc>
        <w:tc>
          <w:tcPr>
            <w:tcW w:w="4414" w:type="dxa"/>
          </w:tcPr>
          <w:p w14:paraId="2228DD01" w14:textId="7E9DD1C8" w:rsidR="00DF2BF4" w:rsidRPr="004C436C" w:rsidRDefault="00441656" w:rsidP="00401D34">
            <w:pPr>
              <w:jc w:val="both"/>
              <w:rPr>
                <w:b/>
                <w:bCs/>
                <w:color w:val="000000" w:themeColor="text1"/>
                <w:lang w:val="es-ES"/>
              </w:rPr>
            </w:pPr>
            <w:r w:rsidRPr="004C436C">
              <w:rPr>
                <w:b/>
                <w:bCs/>
                <w:color w:val="000000" w:themeColor="text1"/>
                <w:lang w:val="es-ES"/>
              </w:rPr>
              <w:t>Medidas y conductas</w:t>
            </w:r>
          </w:p>
        </w:tc>
      </w:tr>
      <w:tr w:rsidR="004C436C" w:rsidRPr="004C436C" w14:paraId="702910CD" w14:textId="77777777" w:rsidTr="00DF2BF4">
        <w:tc>
          <w:tcPr>
            <w:tcW w:w="4414" w:type="dxa"/>
          </w:tcPr>
          <w:p w14:paraId="798720D0" w14:textId="77777777" w:rsidR="00DF2BF4" w:rsidRPr="004C436C" w:rsidRDefault="00441656" w:rsidP="00401D34">
            <w:pPr>
              <w:jc w:val="both"/>
              <w:rPr>
                <w:b/>
                <w:bCs/>
                <w:color w:val="000000" w:themeColor="text1"/>
                <w:lang w:val="es-ES"/>
              </w:rPr>
            </w:pPr>
            <w:r w:rsidRPr="004C436C">
              <w:rPr>
                <w:b/>
                <w:bCs/>
                <w:color w:val="000000" w:themeColor="text1"/>
                <w:lang w:val="es-ES"/>
              </w:rPr>
              <w:t xml:space="preserve">Caso sospechoso: </w:t>
            </w:r>
          </w:p>
          <w:p w14:paraId="01E2F9D7" w14:textId="081A92C2" w:rsidR="00441656" w:rsidRPr="004C436C" w:rsidRDefault="00E51643" w:rsidP="00401D34">
            <w:pPr>
              <w:jc w:val="both"/>
              <w:rPr>
                <w:color w:val="000000" w:themeColor="text1"/>
                <w:lang w:val="es-ES"/>
              </w:rPr>
            </w:pPr>
            <w:r w:rsidRPr="004C436C">
              <w:rPr>
                <w:color w:val="000000" w:themeColor="text1"/>
                <w:lang w:val="es-ES"/>
              </w:rPr>
              <w:t>a) Persona que presenta un c</w:t>
            </w:r>
            <w:r w:rsidR="00206ECD" w:rsidRPr="004C436C">
              <w:rPr>
                <w:color w:val="000000" w:themeColor="text1"/>
                <w:lang w:val="es-ES"/>
              </w:rPr>
              <w:t xml:space="preserve">uadro </w:t>
            </w:r>
            <w:r w:rsidR="007F5B80" w:rsidRPr="004C436C">
              <w:rPr>
                <w:color w:val="000000" w:themeColor="text1"/>
                <w:lang w:val="es-ES"/>
              </w:rPr>
              <w:t xml:space="preserve">agudo con al menos </w:t>
            </w:r>
            <w:r w:rsidR="008458C2" w:rsidRPr="004C436C">
              <w:rPr>
                <w:color w:val="000000" w:themeColor="text1"/>
                <w:lang w:val="es-ES"/>
              </w:rPr>
              <w:t>tres síntomas de los que indica la normativa vigente.</w:t>
            </w:r>
          </w:p>
          <w:p w14:paraId="38211A35" w14:textId="2B02278B" w:rsidR="0010286C" w:rsidRPr="004C436C" w:rsidRDefault="0010286C" w:rsidP="00401D34">
            <w:pPr>
              <w:jc w:val="both"/>
              <w:rPr>
                <w:color w:val="000000" w:themeColor="text1"/>
                <w:lang w:val="es-ES"/>
              </w:rPr>
            </w:pPr>
            <w:r w:rsidRPr="004C436C">
              <w:rPr>
                <w:color w:val="000000" w:themeColor="text1"/>
                <w:lang w:val="es-ES"/>
              </w:rPr>
              <w:t xml:space="preserve">b) </w:t>
            </w:r>
            <w:r w:rsidR="007C568F" w:rsidRPr="004C436C">
              <w:rPr>
                <w:color w:val="000000" w:themeColor="text1"/>
                <w:lang w:val="es-ES"/>
              </w:rPr>
              <w:t>Persona que presenta una infección respiratoria grave, que requiere hospitalización.</w:t>
            </w:r>
          </w:p>
        </w:tc>
        <w:tc>
          <w:tcPr>
            <w:tcW w:w="4414" w:type="dxa"/>
          </w:tcPr>
          <w:p w14:paraId="11FD0C14" w14:textId="77777777" w:rsidR="00DF2BF4" w:rsidRPr="004C436C" w:rsidRDefault="00B11FC0" w:rsidP="00401D34">
            <w:pPr>
              <w:jc w:val="both"/>
              <w:rPr>
                <w:color w:val="000000" w:themeColor="text1"/>
                <w:lang w:val="es-ES"/>
              </w:rPr>
            </w:pPr>
            <w:r w:rsidRPr="004C436C">
              <w:rPr>
                <w:color w:val="000000" w:themeColor="text1"/>
                <w:lang w:val="es-ES"/>
              </w:rPr>
              <w:t>- Realizarse un PCR o prueba de detección de antígenos.</w:t>
            </w:r>
          </w:p>
          <w:p w14:paraId="7F1105CA" w14:textId="77777777" w:rsidR="003E0932" w:rsidRPr="004C436C" w:rsidRDefault="003E0932" w:rsidP="00401D34">
            <w:pPr>
              <w:jc w:val="both"/>
              <w:rPr>
                <w:color w:val="000000" w:themeColor="text1"/>
                <w:lang w:val="es-ES"/>
              </w:rPr>
            </w:pPr>
          </w:p>
          <w:p w14:paraId="68F73E97" w14:textId="739B3E34" w:rsidR="00FA2168" w:rsidRPr="004C436C" w:rsidRDefault="00FA2168" w:rsidP="00401D34">
            <w:pPr>
              <w:jc w:val="both"/>
              <w:rPr>
                <w:color w:val="000000" w:themeColor="text1"/>
                <w:lang w:val="es-ES"/>
              </w:rPr>
            </w:pPr>
            <w:r w:rsidRPr="004C436C">
              <w:rPr>
                <w:color w:val="000000" w:themeColor="text1"/>
                <w:lang w:val="es-ES"/>
              </w:rPr>
              <w:t>- No asistir al colegio hasta tener el resultado negativo</w:t>
            </w:r>
            <w:r w:rsidR="007B28ED" w:rsidRPr="004C436C">
              <w:rPr>
                <w:color w:val="000000" w:themeColor="text1"/>
                <w:lang w:val="es-ES"/>
              </w:rPr>
              <w:t xml:space="preserve"> del test</w:t>
            </w:r>
            <w:r w:rsidR="00CB02E6" w:rsidRPr="004C436C">
              <w:rPr>
                <w:color w:val="000000" w:themeColor="text1"/>
                <w:lang w:val="es-ES"/>
              </w:rPr>
              <w:t xml:space="preserve"> (</w:t>
            </w:r>
            <w:r w:rsidR="0082746E" w:rsidRPr="004C436C">
              <w:rPr>
                <w:color w:val="000000" w:themeColor="text1"/>
                <w:lang w:val="es-ES"/>
              </w:rPr>
              <w:t xml:space="preserve">se entiende </w:t>
            </w:r>
            <w:proofErr w:type="gramStart"/>
            <w:r w:rsidR="0082746E" w:rsidRPr="004C436C">
              <w:rPr>
                <w:color w:val="000000" w:themeColor="text1"/>
                <w:lang w:val="es-ES"/>
              </w:rPr>
              <w:t>que</w:t>
            </w:r>
            <w:proofErr w:type="gramEnd"/>
            <w:r w:rsidR="0082746E" w:rsidRPr="004C436C">
              <w:rPr>
                <w:color w:val="000000" w:themeColor="text1"/>
                <w:lang w:val="es-ES"/>
              </w:rPr>
              <w:t xml:space="preserve"> si el resultado es positivo, deberá hacer la cuarentena correspondiente)</w:t>
            </w:r>
          </w:p>
        </w:tc>
      </w:tr>
      <w:tr w:rsidR="004C436C" w:rsidRPr="004C436C" w14:paraId="14AAAD4B" w14:textId="77777777" w:rsidTr="00DF2BF4">
        <w:tc>
          <w:tcPr>
            <w:tcW w:w="4414" w:type="dxa"/>
          </w:tcPr>
          <w:p w14:paraId="5E019369" w14:textId="77777777" w:rsidR="00093FFA" w:rsidRPr="004C436C" w:rsidRDefault="00093FFA" w:rsidP="00401D34">
            <w:pPr>
              <w:jc w:val="both"/>
              <w:rPr>
                <w:b/>
                <w:bCs/>
                <w:color w:val="000000" w:themeColor="text1"/>
                <w:lang w:val="es-ES"/>
              </w:rPr>
            </w:pPr>
            <w:r w:rsidRPr="004C436C">
              <w:rPr>
                <w:b/>
                <w:bCs/>
                <w:color w:val="000000" w:themeColor="text1"/>
                <w:lang w:val="es-ES"/>
              </w:rPr>
              <w:lastRenderedPageBreak/>
              <w:t>Caso Confirmado:</w:t>
            </w:r>
          </w:p>
          <w:p w14:paraId="4D365688" w14:textId="45799EFF" w:rsidR="00093FFA" w:rsidRPr="004C436C" w:rsidRDefault="00093FFA" w:rsidP="00401D34">
            <w:pPr>
              <w:jc w:val="both"/>
              <w:rPr>
                <w:color w:val="000000" w:themeColor="text1"/>
                <w:lang w:val="es-ES"/>
              </w:rPr>
            </w:pPr>
            <w:r w:rsidRPr="004C436C">
              <w:rPr>
                <w:color w:val="000000" w:themeColor="text1"/>
                <w:lang w:val="es-ES"/>
              </w:rPr>
              <w:t xml:space="preserve">a) </w:t>
            </w:r>
            <w:r w:rsidR="00D4119F" w:rsidRPr="004C436C">
              <w:rPr>
                <w:color w:val="000000" w:themeColor="text1"/>
                <w:lang w:val="es-ES"/>
              </w:rPr>
              <w:t xml:space="preserve">Persona con una prueba de </w:t>
            </w:r>
            <w:r w:rsidR="00E82520" w:rsidRPr="004C436C">
              <w:rPr>
                <w:color w:val="000000" w:themeColor="text1"/>
                <w:lang w:val="es-ES"/>
              </w:rPr>
              <w:t xml:space="preserve">PCR para </w:t>
            </w:r>
            <w:r w:rsidR="00D4119F" w:rsidRPr="004C436C">
              <w:rPr>
                <w:color w:val="000000" w:themeColor="text1"/>
                <w:lang w:val="es-ES"/>
              </w:rPr>
              <w:t>SARS-CoV-2 positiva</w:t>
            </w:r>
          </w:p>
          <w:p w14:paraId="474B7E17" w14:textId="1E8B3589" w:rsidR="00D4119F" w:rsidRPr="004C436C" w:rsidRDefault="00D4119F" w:rsidP="00401D34">
            <w:pPr>
              <w:jc w:val="both"/>
              <w:rPr>
                <w:color w:val="000000" w:themeColor="text1"/>
                <w:lang w:val="es-ES"/>
              </w:rPr>
            </w:pPr>
            <w:r w:rsidRPr="004C436C">
              <w:rPr>
                <w:color w:val="000000" w:themeColor="text1"/>
                <w:lang w:val="es-ES"/>
              </w:rPr>
              <w:t xml:space="preserve">b) </w:t>
            </w:r>
            <w:r w:rsidR="00E727BC" w:rsidRPr="004C436C">
              <w:rPr>
                <w:color w:val="000000" w:themeColor="text1"/>
                <w:lang w:val="es-ES"/>
              </w:rPr>
              <w:t>Persona que presenta una prueba de detección de antígenos para SARS-CoV-2</w:t>
            </w:r>
            <w:r w:rsidR="002304FE" w:rsidRPr="004C436C">
              <w:rPr>
                <w:color w:val="000000" w:themeColor="text1"/>
                <w:lang w:val="es-ES"/>
              </w:rPr>
              <w:t xml:space="preserve"> positiva</w:t>
            </w:r>
            <w:r w:rsidR="003A636F" w:rsidRPr="004C436C">
              <w:rPr>
                <w:color w:val="000000" w:themeColor="text1"/>
                <w:lang w:val="es-ES"/>
              </w:rPr>
              <w:t xml:space="preserve"> (no de anticuerpos)</w:t>
            </w:r>
            <w:r w:rsidR="002304FE" w:rsidRPr="004C436C">
              <w:rPr>
                <w:color w:val="000000" w:themeColor="text1"/>
                <w:lang w:val="es-ES"/>
              </w:rPr>
              <w:t>, tomada en un centro de salud habilitado por la Autoridad Sanitaria</w:t>
            </w:r>
            <w:r w:rsidR="00FA58CC" w:rsidRPr="004C436C">
              <w:rPr>
                <w:color w:val="000000" w:themeColor="text1"/>
                <w:lang w:val="es-ES"/>
              </w:rPr>
              <w:t xml:space="preserve"> </w:t>
            </w:r>
            <w:r w:rsidR="00630724" w:rsidRPr="004C436C">
              <w:rPr>
                <w:color w:val="000000" w:themeColor="text1"/>
                <w:lang w:val="es-ES"/>
              </w:rPr>
              <w:t>o entidad delegada para la realización de este test.</w:t>
            </w:r>
            <w:r w:rsidR="003A636F" w:rsidRPr="004C436C">
              <w:rPr>
                <w:color w:val="000000" w:themeColor="text1"/>
                <w:lang w:val="es-ES"/>
              </w:rPr>
              <w:t xml:space="preserve"> </w:t>
            </w:r>
          </w:p>
        </w:tc>
        <w:tc>
          <w:tcPr>
            <w:tcW w:w="4414" w:type="dxa"/>
          </w:tcPr>
          <w:p w14:paraId="32ED9B8A" w14:textId="77777777" w:rsidR="00093FFA" w:rsidRPr="004C436C" w:rsidRDefault="00E4336A" w:rsidP="00401D34">
            <w:pPr>
              <w:jc w:val="both"/>
              <w:rPr>
                <w:color w:val="000000" w:themeColor="text1"/>
                <w:lang w:val="es-ES"/>
              </w:rPr>
            </w:pPr>
            <w:r w:rsidRPr="004C436C">
              <w:rPr>
                <w:color w:val="000000" w:themeColor="text1"/>
                <w:lang w:val="es-ES"/>
              </w:rPr>
              <w:t>- Dar aviso de inmediato al colegio</w:t>
            </w:r>
            <w:r w:rsidR="00C12473" w:rsidRPr="004C436C">
              <w:rPr>
                <w:color w:val="000000" w:themeColor="text1"/>
                <w:lang w:val="es-ES"/>
              </w:rPr>
              <w:t xml:space="preserve">. </w:t>
            </w:r>
          </w:p>
          <w:p w14:paraId="4B1A4C07" w14:textId="77777777" w:rsidR="007F20DD" w:rsidRPr="004C436C" w:rsidRDefault="007F20DD" w:rsidP="00401D34">
            <w:pPr>
              <w:jc w:val="both"/>
              <w:rPr>
                <w:color w:val="000000" w:themeColor="text1"/>
                <w:lang w:val="es-ES"/>
              </w:rPr>
            </w:pPr>
          </w:p>
          <w:p w14:paraId="0BDFE8A1" w14:textId="77777777" w:rsidR="003D61D4" w:rsidRPr="004C436C" w:rsidRDefault="00C12473" w:rsidP="00401D34">
            <w:pPr>
              <w:jc w:val="both"/>
              <w:rPr>
                <w:color w:val="000000" w:themeColor="text1"/>
                <w:lang w:val="es-ES"/>
              </w:rPr>
            </w:pPr>
            <w:r w:rsidRPr="004C436C">
              <w:rPr>
                <w:color w:val="000000" w:themeColor="text1"/>
                <w:lang w:val="es-ES"/>
              </w:rPr>
              <w:t>- Una vez recibido el aviso</w:t>
            </w:r>
            <w:r w:rsidR="003D61D4" w:rsidRPr="004C436C">
              <w:rPr>
                <w:color w:val="000000" w:themeColor="text1"/>
                <w:lang w:val="es-ES"/>
              </w:rPr>
              <w:t>:</w:t>
            </w:r>
          </w:p>
          <w:p w14:paraId="20727350" w14:textId="41CB24FA" w:rsidR="003D61D4" w:rsidRPr="004C436C" w:rsidRDefault="003D61D4" w:rsidP="003D61D4">
            <w:pPr>
              <w:jc w:val="both"/>
              <w:rPr>
                <w:color w:val="000000" w:themeColor="text1"/>
                <w:lang w:val="es-ES"/>
              </w:rPr>
            </w:pPr>
            <w:r w:rsidRPr="004C436C">
              <w:rPr>
                <w:color w:val="000000" w:themeColor="text1"/>
                <w:lang w:val="es-ES"/>
              </w:rPr>
              <w:t>El profesor o profesora jefe completará el Formulario COVID y lo enviará a Inspectoría General</w:t>
            </w:r>
          </w:p>
          <w:p w14:paraId="3AE93A68" w14:textId="77777777" w:rsidR="003D61D4" w:rsidRPr="004C436C" w:rsidRDefault="003D61D4" w:rsidP="00401D34">
            <w:pPr>
              <w:jc w:val="both"/>
              <w:rPr>
                <w:color w:val="000000" w:themeColor="text1"/>
                <w:lang w:val="es-ES"/>
              </w:rPr>
            </w:pPr>
          </w:p>
          <w:p w14:paraId="601E60E1" w14:textId="0ADBB5EE" w:rsidR="00C12473" w:rsidRPr="004C436C" w:rsidRDefault="00C12473" w:rsidP="00401D34">
            <w:pPr>
              <w:jc w:val="both"/>
              <w:rPr>
                <w:color w:val="000000" w:themeColor="text1"/>
                <w:lang w:val="es-ES"/>
              </w:rPr>
            </w:pPr>
            <w:r w:rsidRPr="004C436C">
              <w:rPr>
                <w:color w:val="000000" w:themeColor="text1"/>
                <w:lang w:val="es-ES"/>
              </w:rPr>
              <w:t xml:space="preserve"> </w:t>
            </w:r>
            <w:r w:rsidR="003D61D4" w:rsidRPr="004C436C">
              <w:rPr>
                <w:color w:val="000000" w:themeColor="text1"/>
                <w:lang w:val="es-ES"/>
              </w:rPr>
              <w:t>Inspectoría General</w:t>
            </w:r>
            <w:r w:rsidRPr="004C436C">
              <w:rPr>
                <w:color w:val="000000" w:themeColor="text1"/>
                <w:lang w:val="es-ES"/>
              </w:rPr>
              <w:t xml:space="preserve"> </w:t>
            </w:r>
            <w:r w:rsidR="00ED6FC2" w:rsidRPr="004C436C">
              <w:rPr>
                <w:color w:val="000000" w:themeColor="text1"/>
                <w:lang w:val="es-ES"/>
              </w:rPr>
              <w:t xml:space="preserve">informará a los otros apoderados del curso para que </w:t>
            </w:r>
            <w:r w:rsidR="00D43787" w:rsidRPr="004C436C">
              <w:rPr>
                <w:color w:val="000000" w:themeColor="text1"/>
                <w:lang w:val="es-ES"/>
              </w:rPr>
              <w:t>estén alerta ante la aparición de síntomas</w:t>
            </w:r>
            <w:r w:rsidR="003667E3" w:rsidRPr="004C436C">
              <w:rPr>
                <w:color w:val="000000" w:themeColor="text1"/>
                <w:lang w:val="es-ES"/>
              </w:rPr>
              <w:t xml:space="preserve"> de sus pupilos. </w:t>
            </w:r>
          </w:p>
          <w:p w14:paraId="14D43DDD" w14:textId="77777777" w:rsidR="007F20DD" w:rsidRPr="004C436C" w:rsidRDefault="007F20DD" w:rsidP="00401D34">
            <w:pPr>
              <w:jc w:val="both"/>
              <w:rPr>
                <w:color w:val="000000" w:themeColor="text1"/>
                <w:lang w:val="es-ES"/>
              </w:rPr>
            </w:pPr>
          </w:p>
          <w:p w14:paraId="37A17C2F" w14:textId="77777777" w:rsidR="005D5243" w:rsidRPr="004C436C" w:rsidRDefault="005D5243" w:rsidP="00401D34">
            <w:pPr>
              <w:jc w:val="both"/>
              <w:rPr>
                <w:color w:val="000000" w:themeColor="text1"/>
                <w:lang w:val="es-ES"/>
              </w:rPr>
            </w:pPr>
            <w:r w:rsidRPr="004C436C">
              <w:rPr>
                <w:color w:val="000000" w:themeColor="text1"/>
                <w:lang w:val="es-ES"/>
              </w:rPr>
              <w:t xml:space="preserve">- Si presentan síntomas deben realizarse </w:t>
            </w:r>
            <w:r w:rsidR="002D1078" w:rsidRPr="004C436C">
              <w:rPr>
                <w:color w:val="000000" w:themeColor="text1"/>
                <w:lang w:val="es-ES"/>
              </w:rPr>
              <w:t>un PCR o Test de antígenos en un centro de salud habilitado por la autoridad sanitaria</w:t>
            </w:r>
            <w:r w:rsidR="00B864E3" w:rsidRPr="004C436C">
              <w:rPr>
                <w:color w:val="000000" w:themeColor="text1"/>
                <w:lang w:val="es-ES"/>
              </w:rPr>
              <w:t xml:space="preserve"> y permanecer en el hogar hasta tener el resultado. Si es negativo, </w:t>
            </w:r>
            <w:r w:rsidR="00195FA9" w:rsidRPr="004C436C">
              <w:rPr>
                <w:color w:val="000000" w:themeColor="text1"/>
                <w:lang w:val="es-ES"/>
              </w:rPr>
              <w:t>debe presentarlo en el colegio al momento de volver a clases.</w:t>
            </w:r>
          </w:p>
          <w:p w14:paraId="574B1375" w14:textId="77777777" w:rsidR="007F20DD" w:rsidRPr="004C436C" w:rsidRDefault="007F20DD" w:rsidP="00401D34">
            <w:pPr>
              <w:jc w:val="both"/>
              <w:rPr>
                <w:color w:val="000000" w:themeColor="text1"/>
                <w:lang w:val="es-ES"/>
              </w:rPr>
            </w:pPr>
          </w:p>
          <w:p w14:paraId="36311977" w14:textId="78249CA5" w:rsidR="00195FA9" w:rsidRPr="004C436C" w:rsidRDefault="00195FA9" w:rsidP="00401D34">
            <w:pPr>
              <w:jc w:val="both"/>
              <w:rPr>
                <w:color w:val="000000" w:themeColor="text1"/>
                <w:lang w:val="es-ES"/>
              </w:rPr>
            </w:pPr>
            <w:r w:rsidRPr="004C436C">
              <w:rPr>
                <w:color w:val="000000" w:themeColor="text1"/>
                <w:lang w:val="es-ES"/>
              </w:rPr>
              <w:t>- El caso confirmado debe permanecer en aislamiento por 5 días desde la aparición de síntomas</w:t>
            </w:r>
            <w:r w:rsidR="009C04AE" w:rsidRPr="004C436C">
              <w:rPr>
                <w:color w:val="000000" w:themeColor="text1"/>
                <w:lang w:val="es-ES"/>
              </w:rPr>
              <w:t>. Si es asintomático se cuenta</w:t>
            </w:r>
            <w:r w:rsidR="00EE2A15" w:rsidRPr="004C436C">
              <w:rPr>
                <w:color w:val="000000" w:themeColor="text1"/>
                <w:lang w:val="es-ES"/>
              </w:rPr>
              <w:t xml:space="preserve">n 5 días después de la toma de muestra del </w:t>
            </w:r>
            <w:r w:rsidR="00FE7988" w:rsidRPr="004C436C">
              <w:rPr>
                <w:color w:val="000000" w:themeColor="text1"/>
                <w:lang w:val="es-ES"/>
              </w:rPr>
              <w:t>test</w:t>
            </w:r>
            <w:r w:rsidR="00EE2A15" w:rsidRPr="004C436C">
              <w:rPr>
                <w:color w:val="000000" w:themeColor="text1"/>
                <w:lang w:val="es-ES"/>
              </w:rPr>
              <w:t>.</w:t>
            </w:r>
            <w:r w:rsidR="00B93125" w:rsidRPr="004C436C">
              <w:rPr>
                <w:color w:val="000000" w:themeColor="text1"/>
                <w:lang w:val="es-ES"/>
              </w:rPr>
              <w:t xml:space="preserve"> No obstante</w:t>
            </w:r>
            <w:r w:rsidR="00175FF5" w:rsidRPr="004C436C">
              <w:rPr>
                <w:color w:val="000000" w:themeColor="text1"/>
                <w:lang w:val="es-ES"/>
              </w:rPr>
              <w:t>, el periodo de aislamiento puede variar según la evolución de la enfermedad a la actualización de la normativa vigente.</w:t>
            </w:r>
          </w:p>
        </w:tc>
      </w:tr>
      <w:tr w:rsidR="00A76213" w:rsidRPr="004C436C" w14:paraId="36C43C7E" w14:textId="77777777" w:rsidTr="00DF2BF4">
        <w:tc>
          <w:tcPr>
            <w:tcW w:w="4414" w:type="dxa"/>
          </w:tcPr>
          <w:p w14:paraId="6DA9EC6D" w14:textId="77777777" w:rsidR="00A76213" w:rsidRPr="00D338F6" w:rsidRDefault="00A76213" w:rsidP="00401D34">
            <w:pPr>
              <w:jc w:val="both"/>
              <w:rPr>
                <w:b/>
                <w:bCs/>
                <w:color w:val="000000" w:themeColor="text1"/>
                <w:lang w:val="es-ES"/>
              </w:rPr>
            </w:pPr>
            <w:r w:rsidRPr="00D338F6">
              <w:rPr>
                <w:b/>
                <w:bCs/>
                <w:color w:val="000000" w:themeColor="text1"/>
                <w:lang w:val="es-ES"/>
              </w:rPr>
              <w:t>Persona en Alerta COVID:</w:t>
            </w:r>
          </w:p>
          <w:p w14:paraId="0DFEB19A" w14:textId="77777777" w:rsidR="007107F3" w:rsidRPr="004C436C" w:rsidRDefault="007107F3" w:rsidP="00401D34">
            <w:pPr>
              <w:jc w:val="both"/>
              <w:rPr>
                <w:color w:val="000000" w:themeColor="text1"/>
                <w:lang w:val="es-ES"/>
              </w:rPr>
            </w:pPr>
          </w:p>
          <w:p w14:paraId="2C9F0E15" w14:textId="00551DAE" w:rsidR="00A76213" w:rsidRPr="004C436C" w:rsidRDefault="0054025C" w:rsidP="00401D34">
            <w:pPr>
              <w:jc w:val="both"/>
              <w:rPr>
                <w:color w:val="000000" w:themeColor="text1"/>
                <w:lang w:val="es-ES"/>
              </w:rPr>
            </w:pPr>
            <w:r w:rsidRPr="004C436C">
              <w:rPr>
                <w:color w:val="000000" w:themeColor="text1"/>
                <w:lang w:val="es-ES"/>
              </w:rPr>
              <w:t xml:space="preserve">Persona que pernocta o ha estado a menos de un metro de distancia </w:t>
            </w:r>
            <w:r w:rsidR="008E75D8" w:rsidRPr="004C436C">
              <w:rPr>
                <w:color w:val="000000" w:themeColor="text1"/>
                <w:lang w:val="es-ES"/>
              </w:rPr>
              <w:t>sin mascarilla o sin el uso correcto de la mascarilla</w:t>
            </w:r>
            <w:r w:rsidR="00767BE9" w:rsidRPr="004C436C">
              <w:rPr>
                <w:color w:val="000000" w:themeColor="text1"/>
                <w:lang w:val="es-ES"/>
              </w:rPr>
              <w:t xml:space="preserve"> de un caso confirmado, </w:t>
            </w:r>
            <w:r w:rsidR="009C16B1" w:rsidRPr="004C436C">
              <w:rPr>
                <w:color w:val="000000" w:themeColor="text1"/>
                <w:lang w:val="es-ES"/>
              </w:rPr>
              <w:t xml:space="preserve">2 días antes o 5 días después </w:t>
            </w:r>
            <w:r w:rsidR="00985715" w:rsidRPr="004C436C">
              <w:rPr>
                <w:color w:val="000000" w:themeColor="text1"/>
                <w:lang w:val="es-ES"/>
              </w:rPr>
              <w:t>del inicio de síntomas o la toma de muestra del caso confirmado.</w:t>
            </w:r>
          </w:p>
        </w:tc>
        <w:tc>
          <w:tcPr>
            <w:tcW w:w="4414" w:type="dxa"/>
          </w:tcPr>
          <w:p w14:paraId="13D69C99" w14:textId="78F01F71" w:rsidR="00A76213" w:rsidRPr="004C436C" w:rsidRDefault="007107F3" w:rsidP="00401D34">
            <w:pPr>
              <w:jc w:val="both"/>
              <w:rPr>
                <w:color w:val="000000" w:themeColor="text1"/>
                <w:lang w:val="es-ES"/>
              </w:rPr>
            </w:pPr>
            <w:r w:rsidRPr="004C436C">
              <w:rPr>
                <w:color w:val="000000" w:themeColor="text1"/>
                <w:lang w:val="es-ES"/>
              </w:rPr>
              <w:t xml:space="preserve">- </w:t>
            </w:r>
            <w:r w:rsidR="006B03A8" w:rsidRPr="004C436C">
              <w:rPr>
                <w:color w:val="000000" w:themeColor="text1"/>
                <w:lang w:val="es-ES"/>
              </w:rPr>
              <w:t>S</w:t>
            </w:r>
            <w:r w:rsidR="009B5C44" w:rsidRPr="004C436C">
              <w:rPr>
                <w:color w:val="000000" w:themeColor="text1"/>
                <w:lang w:val="es-ES"/>
              </w:rPr>
              <w:t>i no tiene síntomas</w:t>
            </w:r>
            <w:r w:rsidR="00104D5E" w:rsidRPr="004C436C">
              <w:rPr>
                <w:color w:val="000000" w:themeColor="text1"/>
                <w:lang w:val="es-ES"/>
              </w:rPr>
              <w:t>,</w:t>
            </w:r>
            <w:r w:rsidR="00265B9D" w:rsidRPr="004C436C">
              <w:rPr>
                <w:color w:val="000000" w:themeColor="text1"/>
                <w:lang w:val="es-ES"/>
              </w:rPr>
              <w:t xml:space="preserve"> se recomienda realizarse un examen confirmatorio por PCR o detección de an</w:t>
            </w:r>
            <w:r w:rsidR="002F1F44" w:rsidRPr="004C436C">
              <w:rPr>
                <w:color w:val="000000" w:themeColor="text1"/>
                <w:lang w:val="es-ES"/>
              </w:rPr>
              <w:t xml:space="preserve">tígenos en un centro de salud habilitado por la autoridad sanitaria. Puede seguir asistiendo al establecimiento. </w:t>
            </w:r>
          </w:p>
          <w:p w14:paraId="10B0540D" w14:textId="77777777" w:rsidR="00104D5E" w:rsidRPr="004C436C" w:rsidRDefault="00104D5E" w:rsidP="00401D34">
            <w:pPr>
              <w:jc w:val="both"/>
              <w:rPr>
                <w:color w:val="000000" w:themeColor="text1"/>
                <w:lang w:val="es-ES"/>
              </w:rPr>
            </w:pPr>
            <w:r w:rsidRPr="004C436C">
              <w:rPr>
                <w:color w:val="000000" w:themeColor="text1"/>
                <w:lang w:val="es-ES"/>
              </w:rPr>
              <w:t xml:space="preserve">- Si presenta síntomas, debe realizarse </w:t>
            </w:r>
            <w:r w:rsidR="006250D7" w:rsidRPr="004C436C">
              <w:rPr>
                <w:color w:val="000000" w:themeColor="text1"/>
                <w:lang w:val="es-ES"/>
              </w:rPr>
              <w:t xml:space="preserve">un examen de inmediato y esperar el resultado antes de </w:t>
            </w:r>
            <w:r w:rsidR="001C38C6" w:rsidRPr="004C436C">
              <w:rPr>
                <w:color w:val="000000" w:themeColor="text1"/>
                <w:lang w:val="es-ES"/>
              </w:rPr>
              <w:t>volver a asistir al establecimiento.</w:t>
            </w:r>
          </w:p>
          <w:p w14:paraId="6CEC0D39" w14:textId="44B56BF2" w:rsidR="001C38C6" w:rsidRPr="004C436C" w:rsidRDefault="001C38C6" w:rsidP="00401D34">
            <w:pPr>
              <w:jc w:val="both"/>
              <w:rPr>
                <w:color w:val="000000" w:themeColor="text1"/>
                <w:lang w:val="es-ES"/>
              </w:rPr>
            </w:pPr>
            <w:r w:rsidRPr="004C436C">
              <w:rPr>
                <w:color w:val="000000" w:themeColor="text1"/>
                <w:lang w:val="es-ES"/>
              </w:rPr>
              <w:t xml:space="preserve">- Se debe poner atención a la aparición de síntomas </w:t>
            </w:r>
            <w:r w:rsidR="00686583" w:rsidRPr="004C436C">
              <w:rPr>
                <w:color w:val="000000" w:themeColor="text1"/>
                <w:lang w:val="es-ES"/>
              </w:rPr>
              <w:t xml:space="preserve">hasta 5 días después del último contacto con el caso confirmado. </w:t>
            </w:r>
          </w:p>
        </w:tc>
      </w:tr>
    </w:tbl>
    <w:p w14:paraId="654D98F5" w14:textId="0B15D675" w:rsidR="00401D34" w:rsidRPr="004C436C" w:rsidRDefault="00401D34" w:rsidP="00401D34">
      <w:pPr>
        <w:spacing w:after="0" w:line="240" w:lineRule="auto"/>
        <w:jc w:val="both"/>
        <w:rPr>
          <w:color w:val="000000" w:themeColor="text1"/>
          <w:lang w:val="es-ES"/>
        </w:rPr>
      </w:pPr>
    </w:p>
    <w:p w14:paraId="4E758D87" w14:textId="7A706160" w:rsidR="00F43D57" w:rsidRDefault="00AA754F" w:rsidP="00871183">
      <w:pPr>
        <w:pStyle w:val="Prrafodelista"/>
        <w:numPr>
          <w:ilvl w:val="0"/>
          <w:numId w:val="5"/>
        </w:numPr>
        <w:spacing w:after="0" w:line="240" w:lineRule="auto"/>
        <w:jc w:val="both"/>
        <w:rPr>
          <w:color w:val="000000" w:themeColor="text1"/>
          <w:lang w:val="es-ES"/>
        </w:rPr>
      </w:pPr>
      <w:r w:rsidRPr="004C436C">
        <w:rPr>
          <w:color w:val="000000" w:themeColor="text1"/>
          <w:lang w:val="es-ES"/>
        </w:rPr>
        <w:t>Las personas consideradas contacto estrecho serán definidas sólo por la autoridad sanitaria</w:t>
      </w:r>
      <w:r w:rsidR="000B021B" w:rsidRPr="004C436C">
        <w:rPr>
          <w:color w:val="000000" w:themeColor="text1"/>
          <w:lang w:val="es-ES"/>
        </w:rPr>
        <w:t>.</w:t>
      </w:r>
    </w:p>
    <w:p w14:paraId="50D8682B" w14:textId="77777777" w:rsidR="00D338F6" w:rsidRPr="004C436C" w:rsidRDefault="00D338F6" w:rsidP="00D338F6">
      <w:pPr>
        <w:pStyle w:val="Prrafodelista"/>
        <w:spacing w:after="0" w:line="240" w:lineRule="auto"/>
        <w:jc w:val="both"/>
        <w:rPr>
          <w:color w:val="000000" w:themeColor="text1"/>
          <w:lang w:val="es-ES"/>
        </w:rPr>
      </w:pPr>
    </w:p>
    <w:tbl>
      <w:tblPr>
        <w:tblStyle w:val="Tablaconcuadrcula"/>
        <w:tblW w:w="0" w:type="auto"/>
        <w:tblLook w:val="04A0" w:firstRow="1" w:lastRow="0" w:firstColumn="1" w:lastColumn="0" w:noHBand="0" w:noVBand="1"/>
      </w:tblPr>
      <w:tblGrid>
        <w:gridCol w:w="8808"/>
      </w:tblGrid>
      <w:tr w:rsidR="00A30860" w:rsidRPr="004C436C" w14:paraId="0FE60214" w14:textId="77777777" w:rsidTr="00651CB2">
        <w:tc>
          <w:tcPr>
            <w:tcW w:w="8808" w:type="dxa"/>
            <w:tcBorders>
              <w:top w:val="single" w:sz="12" w:space="0" w:color="auto"/>
              <w:left w:val="single" w:sz="12" w:space="0" w:color="auto"/>
              <w:right w:val="single" w:sz="12" w:space="0" w:color="auto"/>
            </w:tcBorders>
          </w:tcPr>
          <w:p w14:paraId="78E8DE7E" w14:textId="77777777" w:rsidR="00BB4EA3" w:rsidRPr="004C436C" w:rsidRDefault="00A30860" w:rsidP="00401D34">
            <w:pPr>
              <w:jc w:val="both"/>
              <w:rPr>
                <w:b/>
                <w:bCs/>
                <w:color w:val="000000" w:themeColor="text1"/>
                <w:lang w:val="es-ES"/>
              </w:rPr>
            </w:pPr>
            <w:r w:rsidRPr="004C436C">
              <w:rPr>
                <w:b/>
                <w:bCs/>
                <w:color w:val="000000" w:themeColor="text1"/>
                <w:lang w:val="es-ES"/>
              </w:rPr>
              <w:t xml:space="preserve">Síntomas </w:t>
            </w:r>
            <w:r w:rsidR="00BB4EA3" w:rsidRPr="004C436C">
              <w:rPr>
                <w:b/>
                <w:bCs/>
                <w:color w:val="000000" w:themeColor="text1"/>
                <w:lang w:val="es-ES"/>
              </w:rPr>
              <w:t>covid-19</w:t>
            </w:r>
          </w:p>
          <w:p w14:paraId="62EAE9F5" w14:textId="677720E5" w:rsidR="0089673A" w:rsidRPr="004C436C" w:rsidRDefault="00A30860" w:rsidP="005B18F3">
            <w:pPr>
              <w:pStyle w:val="Prrafodelista"/>
              <w:numPr>
                <w:ilvl w:val="0"/>
                <w:numId w:val="4"/>
              </w:numPr>
              <w:jc w:val="both"/>
              <w:rPr>
                <w:color w:val="000000" w:themeColor="text1"/>
                <w:lang w:val="es-ES"/>
              </w:rPr>
            </w:pPr>
            <w:r w:rsidRPr="004C436C">
              <w:rPr>
                <w:color w:val="000000" w:themeColor="text1"/>
                <w:lang w:val="es-ES"/>
              </w:rPr>
              <w:t xml:space="preserve"> </w:t>
            </w:r>
            <w:r w:rsidR="00970BAB" w:rsidRPr="004C436C">
              <w:rPr>
                <w:color w:val="000000" w:themeColor="text1"/>
                <w:lang w:val="es-ES"/>
              </w:rPr>
              <w:t>Fiebre desde 37,8</w:t>
            </w:r>
            <w:r w:rsidR="00356DF9" w:rsidRPr="004C436C">
              <w:rPr>
                <w:color w:val="000000" w:themeColor="text1"/>
                <w:vertAlign w:val="superscript"/>
                <w:lang w:val="es-ES"/>
              </w:rPr>
              <w:t>0</w:t>
            </w:r>
            <w:r w:rsidR="00356DF9" w:rsidRPr="004C436C">
              <w:rPr>
                <w:color w:val="000000" w:themeColor="text1"/>
                <w:lang w:val="es-ES"/>
              </w:rPr>
              <w:t>C</w:t>
            </w:r>
          </w:p>
          <w:p w14:paraId="4A34CC69" w14:textId="2784FB78" w:rsidR="0089673A" w:rsidRPr="004C436C" w:rsidRDefault="005B18F3" w:rsidP="005B18F3">
            <w:pPr>
              <w:pStyle w:val="Prrafodelista"/>
              <w:numPr>
                <w:ilvl w:val="0"/>
                <w:numId w:val="4"/>
              </w:numPr>
              <w:jc w:val="both"/>
              <w:rPr>
                <w:color w:val="000000" w:themeColor="text1"/>
                <w:lang w:val="es-ES"/>
              </w:rPr>
            </w:pPr>
            <w:r w:rsidRPr="004C436C">
              <w:rPr>
                <w:color w:val="000000" w:themeColor="text1"/>
                <w:lang w:val="es-ES"/>
              </w:rPr>
              <w:t>T</w:t>
            </w:r>
            <w:r w:rsidR="0089673A" w:rsidRPr="004C436C">
              <w:rPr>
                <w:color w:val="000000" w:themeColor="text1"/>
                <w:lang w:val="es-ES"/>
              </w:rPr>
              <w:t>os o estornudos</w:t>
            </w:r>
          </w:p>
          <w:p w14:paraId="057255DE" w14:textId="798CD660" w:rsidR="0089673A" w:rsidRPr="004C436C" w:rsidRDefault="005B18F3" w:rsidP="005B18F3">
            <w:pPr>
              <w:pStyle w:val="Prrafodelista"/>
              <w:numPr>
                <w:ilvl w:val="0"/>
                <w:numId w:val="4"/>
              </w:numPr>
              <w:jc w:val="both"/>
              <w:rPr>
                <w:color w:val="000000" w:themeColor="text1"/>
                <w:lang w:val="es-ES"/>
              </w:rPr>
            </w:pPr>
            <w:r w:rsidRPr="004C436C">
              <w:rPr>
                <w:color w:val="000000" w:themeColor="text1"/>
                <w:lang w:val="es-ES"/>
              </w:rPr>
              <w:t>A</w:t>
            </w:r>
            <w:r w:rsidR="007D0C04" w:rsidRPr="004C436C">
              <w:rPr>
                <w:color w:val="000000" w:themeColor="text1"/>
                <w:lang w:val="es-ES"/>
              </w:rPr>
              <w:t>umento de la frecuencia respiratoria (traquipnea)</w:t>
            </w:r>
          </w:p>
          <w:p w14:paraId="75FD56C4" w14:textId="612132CD" w:rsidR="007D0C04" w:rsidRPr="004C436C" w:rsidRDefault="005B18F3" w:rsidP="005B18F3">
            <w:pPr>
              <w:pStyle w:val="Prrafodelista"/>
              <w:numPr>
                <w:ilvl w:val="0"/>
                <w:numId w:val="4"/>
              </w:numPr>
              <w:jc w:val="both"/>
              <w:rPr>
                <w:color w:val="000000" w:themeColor="text1"/>
                <w:lang w:val="es-ES"/>
              </w:rPr>
            </w:pPr>
            <w:r w:rsidRPr="004C436C">
              <w:rPr>
                <w:color w:val="000000" w:themeColor="text1"/>
                <w:lang w:val="es-ES"/>
              </w:rPr>
              <w:t>D</w:t>
            </w:r>
            <w:r w:rsidR="007533BD" w:rsidRPr="004C436C">
              <w:rPr>
                <w:color w:val="000000" w:themeColor="text1"/>
                <w:lang w:val="es-ES"/>
              </w:rPr>
              <w:t>ebilidad general o fatiga</w:t>
            </w:r>
          </w:p>
          <w:p w14:paraId="1B33CE46" w14:textId="6B50F5FB" w:rsidR="005F019E" w:rsidRPr="004C436C" w:rsidRDefault="005B18F3" w:rsidP="005B18F3">
            <w:pPr>
              <w:pStyle w:val="Prrafodelista"/>
              <w:numPr>
                <w:ilvl w:val="0"/>
                <w:numId w:val="4"/>
              </w:numPr>
              <w:jc w:val="both"/>
              <w:rPr>
                <w:color w:val="000000" w:themeColor="text1"/>
                <w:lang w:val="es-ES"/>
              </w:rPr>
            </w:pPr>
            <w:r w:rsidRPr="004C436C">
              <w:rPr>
                <w:color w:val="000000" w:themeColor="text1"/>
                <w:lang w:val="es-ES"/>
              </w:rPr>
              <w:t>D</w:t>
            </w:r>
            <w:r w:rsidR="007533BD" w:rsidRPr="004C436C">
              <w:rPr>
                <w:color w:val="000000" w:themeColor="text1"/>
                <w:lang w:val="es-ES"/>
              </w:rPr>
              <w:t xml:space="preserve">iarrea, </w:t>
            </w:r>
          </w:p>
          <w:p w14:paraId="34DE6195" w14:textId="21D85E8A" w:rsidR="005F019E" w:rsidRPr="004C436C" w:rsidRDefault="005B18F3" w:rsidP="005B18F3">
            <w:pPr>
              <w:pStyle w:val="Prrafodelista"/>
              <w:numPr>
                <w:ilvl w:val="0"/>
                <w:numId w:val="4"/>
              </w:numPr>
              <w:jc w:val="both"/>
              <w:rPr>
                <w:color w:val="000000" w:themeColor="text1"/>
                <w:lang w:val="es-ES"/>
              </w:rPr>
            </w:pPr>
            <w:r w:rsidRPr="004C436C">
              <w:rPr>
                <w:color w:val="000000" w:themeColor="text1"/>
                <w:lang w:val="es-ES"/>
              </w:rPr>
              <w:t>A</w:t>
            </w:r>
            <w:r w:rsidR="007533BD" w:rsidRPr="004C436C">
              <w:rPr>
                <w:color w:val="000000" w:themeColor="text1"/>
                <w:lang w:val="es-ES"/>
              </w:rPr>
              <w:t>norexia,</w:t>
            </w:r>
          </w:p>
          <w:p w14:paraId="584ED008" w14:textId="1F34A268" w:rsidR="007533BD" w:rsidRPr="004C436C" w:rsidRDefault="009E0297" w:rsidP="009E0297">
            <w:pPr>
              <w:pStyle w:val="Prrafodelista"/>
              <w:numPr>
                <w:ilvl w:val="0"/>
                <w:numId w:val="4"/>
              </w:numPr>
              <w:jc w:val="both"/>
              <w:rPr>
                <w:color w:val="000000" w:themeColor="text1"/>
                <w:lang w:val="es-ES"/>
              </w:rPr>
            </w:pPr>
            <w:r w:rsidRPr="004C436C">
              <w:rPr>
                <w:color w:val="000000" w:themeColor="text1"/>
                <w:lang w:val="es-ES"/>
              </w:rPr>
              <w:t>N</w:t>
            </w:r>
            <w:r w:rsidR="007533BD" w:rsidRPr="004C436C">
              <w:rPr>
                <w:color w:val="000000" w:themeColor="text1"/>
                <w:lang w:val="es-ES"/>
              </w:rPr>
              <w:t>áuseas o vómitos</w:t>
            </w:r>
          </w:p>
          <w:p w14:paraId="3CD7A51C" w14:textId="6A77C1FB" w:rsidR="005F019E" w:rsidRPr="004C436C" w:rsidRDefault="009E0297" w:rsidP="009E0297">
            <w:pPr>
              <w:pStyle w:val="Prrafodelista"/>
              <w:numPr>
                <w:ilvl w:val="0"/>
                <w:numId w:val="4"/>
              </w:numPr>
              <w:jc w:val="both"/>
              <w:rPr>
                <w:color w:val="000000" w:themeColor="text1"/>
                <w:lang w:val="es-ES"/>
              </w:rPr>
            </w:pPr>
            <w:r w:rsidRPr="004C436C">
              <w:rPr>
                <w:color w:val="000000" w:themeColor="text1"/>
                <w:lang w:val="es-ES"/>
              </w:rPr>
              <w:t>P</w:t>
            </w:r>
            <w:r w:rsidR="005F019E" w:rsidRPr="004C436C">
              <w:rPr>
                <w:color w:val="000000" w:themeColor="text1"/>
                <w:lang w:val="es-ES"/>
              </w:rPr>
              <w:t>érdida brusca y completa del olfato (anosmia)</w:t>
            </w:r>
          </w:p>
          <w:p w14:paraId="0A29D303" w14:textId="4F0BDD2B" w:rsidR="00A30860" w:rsidRPr="004C436C" w:rsidRDefault="009E0297" w:rsidP="009E0297">
            <w:pPr>
              <w:pStyle w:val="Prrafodelista"/>
              <w:numPr>
                <w:ilvl w:val="0"/>
                <w:numId w:val="4"/>
              </w:numPr>
              <w:jc w:val="both"/>
              <w:rPr>
                <w:color w:val="000000" w:themeColor="text1"/>
                <w:lang w:val="es-ES"/>
              </w:rPr>
            </w:pPr>
            <w:r w:rsidRPr="004C436C">
              <w:rPr>
                <w:color w:val="000000" w:themeColor="text1"/>
                <w:lang w:val="es-ES"/>
              </w:rPr>
              <w:t>P</w:t>
            </w:r>
            <w:r w:rsidR="005120EC" w:rsidRPr="004C436C">
              <w:rPr>
                <w:color w:val="000000" w:themeColor="text1"/>
                <w:lang w:val="es-ES"/>
              </w:rPr>
              <w:t>érdida brusca y completa del gusto (ageusia)</w:t>
            </w:r>
            <w:r w:rsidR="00AE107B" w:rsidRPr="004C436C">
              <w:rPr>
                <w:color w:val="000000" w:themeColor="text1"/>
                <w:lang w:val="es-ES"/>
              </w:rPr>
              <w:t>.</w:t>
            </w:r>
          </w:p>
          <w:p w14:paraId="3A1CFB19" w14:textId="008E421D" w:rsidR="00C2460C" w:rsidRPr="004C436C" w:rsidRDefault="009E0297" w:rsidP="009E0297">
            <w:pPr>
              <w:pStyle w:val="Prrafodelista"/>
              <w:numPr>
                <w:ilvl w:val="0"/>
                <w:numId w:val="4"/>
              </w:numPr>
              <w:jc w:val="both"/>
              <w:rPr>
                <w:color w:val="000000" w:themeColor="text1"/>
                <w:lang w:val="es-ES"/>
              </w:rPr>
            </w:pPr>
            <w:r w:rsidRPr="004C436C">
              <w:rPr>
                <w:color w:val="000000" w:themeColor="text1"/>
                <w:lang w:val="es-ES"/>
              </w:rPr>
              <w:t>D</w:t>
            </w:r>
            <w:r w:rsidR="00C2460C" w:rsidRPr="004C436C">
              <w:rPr>
                <w:color w:val="000000" w:themeColor="text1"/>
                <w:lang w:val="es-ES"/>
              </w:rPr>
              <w:t>olor de garganta al tragar (odinofagia)</w:t>
            </w:r>
          </w:p>
          <w:p w14:paraId="5631279A" w14:textId="4BDAA183" w:rsidR="00C2460C" w:rsidRPr="004C436C" w:rsidRDefault="009E0297" w:rsidP="009E0297">
            <w:pPr>
              <w:pStyle w:val="Prrafodelista"/>
              <w:numPr>
                <w:ilvl w:val="0"/>
                <w:numId w:val="4"/>
              </w:numPr>
              <w:jc w:val="both"/>
              <w:rPr>
                <w:color w:val="000000" w:themeColor="text1"/>
                <w:lang w:val="es-ES"/>
              </w:rPr>
            </w:pPr>
            <w:r w:rsidRPr="004C436C">
              <w:rPr>
                <w:color w:val="000000" w:themeColor="text1"/>
                <w:lang w:val="es-ES"/>
              </w:rPr>
              <w:t>D</w:t>
            </w:r>
            <w:r w:rsidR="00F64460" w:rsidRPr="004C436C">
              <w:rPr>
                <w:color w:val="000000" w:themeColor="text1"/>
                <w:lang w:val="es-ES"/>
              </w:rPr>
              <w:t>olor torá</w:t>
            </w:r>
            <w:r w:rsidR="001C4F7F" w:rsidRPr="004C436C">
              <w:rPr>
                <w:color w:val="000000" w:themeColor="text1"/>
                <w:lang w:val="es-ES"/>
              </w:rPr>
              <w:t>c</w:t>
            </w:r>
            <w:r w:rsidR="00F64460" w:rsidRPr="004C436C">
              <w:rPr>
                <w:color w:val="000000" w:themeColor="text1"/>
                <w:lang w:val="es-ES"/>
              </w:rPr>
              <w:t>ico</w:t>
            </w:r>
          </w:p>
          <w:p w14:paraId="670F8BFE" w14:textId="408DC07C" w:rsidR="000E4A4D" w:rsidRPr="004C436C" w:rsidRDefault="009E0297" w:rsidP="009E0297">
            <w:pPr>
              <w:pStyle w:val="Prrafodelista"/>
              <w:numPr>
                <w:ilvl w:val="0"/>
                <w:numId w:val="4"/>
              </w:numPr>
              <w:jc w:val="both"/>
              <w:rPr>
                <w:color w:val="000000" w:themeColor="text1"/>
                <w:lang w:val="es-ES"/>
              </w:rPr>
            </w:pPr>
            <w:r w:rsidRPr="004C436C">
              <w:rPr>
                <w:color w:val="000000" w:themeColor="text1"/>
                <w:lang w:val="es-ES"/>
              </w:rPr>
              <w:t>D</w:t>
            </w:r>
            <w:r w:rsidR="000E4A4D" w:rsidRPr="004C436C">
              <w:rPr>
                <w:color w:val="000000" w:themeColor="text1"/>
                <w:lang w:val="es-ES"/>
              </w:rPr>
              <w:t>ificultad respiratoria (disnea)</w:t>
            </w:r>
          </w:p>
          <w:p w14:paraId="01F0B435" w14:textId="5C3735FE" w:rsidR="004371D3" w:rsidRPr="004C436C" w:rsidRDefault="009E0297" w:rsidP="00067602">
            <w:pPr>
              <w:pStyle w:val="Prrafodelista"/>
              <w:numPr>
                <w:ilvl w:val="0"/>
                <w:numId w:val="4"/>
              </w:numPr>
              <w:jc w:val="both"/>
              <w:rPr>
                <w:color w:val="000000" w:themeColor="text1"/>
                <w:lang w:val="es-ES"/>
              </w:rPr>
            </w:pPr>
            <w:r w:rsidRPr="004C436C">
              <w:rPr>
                <w:color w:val="000000" w:themeColor="text1"/>
                <w:lang w:val="es-ES"/>
              </w:rPr>
              <w:t>D</w:t>
            </w:r>
            <w:r w:rsidR="004371D3" w:rsidRPr="004C436C">
              <w:rPr>
                <w:color w:val="000000" w:themeColor="text1"/>
                <w:lang w:val="es-ES"/>
              </w:rPr>
              <w:t>olor muscular (mialgias)</w:t>
            </w:r>
          </w:p>
          <w:p w14:paraId="5CBFE4D8" w14:textId="21B8563C" w:rsidR="004371D3" w:rsidRPr="004C436C" w:rsidRDefault="00067602" w:rsidP="00067602">
            <w:pPr>
              <w:pStyle w:val="Prrafodelista"/>
              <w:numPr>
                <w:ilvl w:val="0"/>
                <w:numId w:val="4"/>
              </w:numPr>
              <w:jc w:val="both"/>
              <w:rPr>
                <w:color w:val="000000" w:themeColor="text1"/>
                <w:lang w:val="es-ES"/>
              </w:rPr>
            </w:pPr>
            <w:r w:rsidRPr="004C436C">
              <w:rPr>
                <w:color w:val="000000" w:themeColor="text1"/>
                <w:lang w:val="es-ES"/>
              </w:rPr>
              <w:t>C</w:t>
            </w:r>
            <w:r w:rsidR="004371D3" w:rsidRPr="004C436C">
              <w:rPr>
                <w:color w:val="000000" w:themeColor="text1"/>
                <w:lang w:val="es-ES"/>
              </w:rPr>
              <w:t>alosfríos</w:t>
            </w:r>
          </w:p>
          <w:p w14:paraId="7FB4DE73" w14:textId="34191D40" w:rsidR="00E65920" w:rsidRPr="004C436C" w:rsidRDefault="00067602" w:rsidP="00067602">
            <w:pPr>
              <w:pStyle w:val="Prrafodelista"/>
              <w:numPr>
                <w:ilvl w:val="0"/>
                <w:numId w:val="4"/>
              </w:numPr>
              <w:jc w:val="both"/>
              <w:rPr>
                <w:color w:val="000000" w:themeColor="text1"/>
                <w:lang w:val="es-ES"/>
              </w:rPr>
            </w:pPr>
            <w:r w:rsidRPr="004C436C">
              <w:rPr>
                <w:color w:val="000000" w:themeColor="text1"/>
                <w:lang w:val="es-ES"/>
              </w:rPr>
              <w:t>D</w:t>
            </w:r>
            <w:r w:rsidR="00E65920" w:rsidRPr="004C436C">
              <w:rPr>
                <w:color w:val="000000" w:themeColor="text1"/>
                <w:lang w:val="es-ES"/>
              </w:rPr>
              <w:t>olor de cabeza</w:t>
            </w:r>
            <w:r w:rsidR="005B059C" w:rsidRPr="004C436C">
              <w:rPr>
                <w:color w:val="000000" w:themeColor="text1"/>
                <w:lang w:val="es-ES"/>
              </w:rPr>
              <w:t xml:space="preserve"> (cefalea)</w:t>
            </w:r>
          </w:p>
          <w:p w14:paraId="5B7AC50A" w14:textId="4F7E42B1" w:rsidR="00AE107B" w:rsidRPr="004C436C" w:rsidRDefault="00AE107B" w:rsidP="00401D34">
            <w:pPr>
              <w:jc w:val="both"/>
              <w:rPr>
                <w:color w:val="000000" w:themeColor="text1"/>
                <w:lang w:val="es-ES"/>
              </w:rPr>
            </w:pPr>
          </w:p>
        </w:tc>
      </w:tr>
    </w:tbl>
    <w:p w14:paraId="04AFEF90" w14:textId="77777777" w:rsidR="00412FF8" w:rsidRPr="004C436C" w:rsidRDefault="00412FF8" w:rsidP="00401D34">
      <w:pPr>
        <w:spacing w:after="0" w:line="240" w:lineRule="auto"/>
        <w:jc w:val="both"/>
        <w:rPr>
          <w:color w:val="000000" w:themeColor="text1"/>
          <w:lang w:val="es-ES"/>
        </w:rPr>
      </w:pPr>
    </w:p>
    <w:p w14:paraId="6DFB3D5B" w14:textId="77777777" w:rsidR="00412FF8" w:rsidRPr="004C436C" w:rsidRDefault="00412FF8" w:rsidP="00401D34">
      <w:pPr>
        <w:spacing w:after="0" w:line="240" w:lineRule="auto"/>
        <w:jc w:val="both"/>
        <w:rPr>
          <w:color w:val="000000" w:themeColor="text1"/>
          <w:lang w:val="es-ES"/>
        </w:rPr>
      </w:pPr>
    </w:p>
    <w:p w14:paraId="75E00E74" w14:textId="6E8767E1" w:rsidR="00D0292B" w:rsidRPr="004C436C" w:rsidRDefault="00A96E0B" w:rsidP="0057503A">
      <w:pPr>
        <w:spacing w:after="0" w:line="240" w:lineRule="auto"/>
        <w:jc w:val="both"/>
        <w:rPr>
          <w:b/>
          <w:bCs/>
          <w:color w:val="000000" w:themeColor="text1"/>
          <w:lang w:val="es-ES"/>
        </w:rPr>
      </w:pPr>
      <w:r w:rsidRPr="004C436C">
        <w:rPr>
          <w:b/>
          <w:bCs/>
          <w:color w:val="000000" w:themeColor="text1"/>
          <w:lang w:val="es-ES"/>
        </w:rPr>
        <w:t xml:space="preserve">III.- </w:t>
      </w:r>
      <w:r w:rsidR="005B68E4" w:rsidRPr="004C436C">
        <w:rPr>
          <w:b/>
          <w:bCs/>
          <w:color w:val="000000" w:themeColor="text1"/>
          <w:lang w:val="es-ES"/>
        </w:rPr>
        <w:t>GESTIÓN DE CASOS COVID-19 EN EL ESTABLECIMIENTO EDUCACIONAL</w:t>
      </w:r>
    </w:p>
    <w:p w14:paraId="007522E9" w14:textId="77777777" w:rsidR="005B68E4" w:rsidRPr="004C436C" w:rsidRDefault="005B68E4" w:rsidP="0057503A">
      <w:pPr>
        <w:spacing w:after="0" w:line="240" w:lineRule="auto"/>
        <w:jc w:val="both"/>
        <w:rPr>
          <w:color w:val="000000" w:themeColor="text1"/>
          <w:lang w:val="es-ES"/>
        </w:rPr>
      </w:pPr>
    </w:p>
    <w:tbl>
      <w:tblPr>
        <w:tblStyle w:val="Tablaconcuadrcula"/>
        <w:tblW w:w="0" w:type="auto"/>
        <w:tblLook w:val="04A0" w:firstRow="1" w:lastRow="0" w:firstColumn="1" w:lastColumn="0" w:noHBand="0" w:noVBand="1"/>
      </w:tblPr>
      <w:tblGrid>
        <w:gridCol w:w="1622"/>
        <w:gridCol w:w="2663"/>
        <w:gridCol w:w="4543"/>
      </w:tblGrid>
      <w:tr w:rsidR="004C436C" w:rsidRPr="004C436C" w14:paraId="5B80A640" w14:textId="77777777" w:rsidTr="003772FC">
        <w:tc>
          <w:tcPr>
            <w:tcW w:w="988" w:type="dxa"/>
          </w:tcPr>
          <w:p w14:paraId="75E76A1D" w14:textId="223B7921" w:rsidR="00405655" w:rsidRPr="004C436C" w:rsidRDefault="00405655" w:rsidP="0057503A">
            <w:pPr>
              <w:jc w:val="both"/>
              <w:rPr>
                <w:b/>
                <w:bCs/>
                <w:color w:val="000000" w:themeColor="text1"/>
                <w:lang w:val="es-ES"/>
              </w:rPr>
            </w:pPr>
            <w:r w:rsidRPr="004C436C">
              <w:rPr>
                <w:b/>
                <w:bCs/>
                <w:color w:val="000000" w:themeColor="text1"/>
                <w:lang w:val="es-ES"/>
              </w:rPr>
              <w:t>Estado</w:t>
            </w:r>
          </w:p>
        </w:tc>
        <w:tc>
          <w:tcPr>
            <w:tcW w:w="2835" w:type="dxa"/>
          </w:tcPr>
          <w:p w14:paraId="49DEC35C" w14:textId="601AAAAB" w:rsidR="00405655" w:rsidRPr="004C436C" w:rsidRDefault="00405655" w:rsidP="0057503A">
            <w:pPr>
              <w:jc w:val="both"/>
              <w:rPr>
                <w:b/>
                <w:bCs/>
                <w:color w:val="000000" w:themeColor="text1"/>
                <w:lang w:val="es-ES"/>
              </w:rPr>
            </w:pPr>
            <w:r w:rsidRPr="004C436C">
              <w:rPr>
                <w:b/>
                <w:bCs/>
                <w:color w:val="000000" w:themeColor="text1"/>
                <w:lang w:val="es-ES"/>
              </w:rPr>
              <w:t>Descripción</w:t>
            </w:r>
          </w:p>
        </w:tc>
        <w:tc>
          <w:tcPr>
            <w:tcW w:w="5005" w:type="dxa"/>
          </w:tcPr>
          <w:p w14:paraId="01F97EC3" w14:textId="1236AADA" w:rsidR="00405655" w:rsidRPr="004C436C" w:rsidRDefault="00405655" w:rsidP="0057503A">
            <w:pPr>
              <w:jc w:val="both"/>
              <w:rPr>
                <w:b/>
                <w:bCs/>
                <w:color w:val="000000" w:themeColor="text1"/>
                <w:lang w:val="es-ES"/>
              </w:rPr>
            </w:pPr>
            <w:r w:rsidRPr="004C436C">
              <w:rPr>
                <w:b/>
                <w:bCs/>
                <w:color w:val="000000" w:themeColor="text1"/>
                <w:lang w:val="es-ES"/>
              </w:rPr>
              <w:t>Medidas</w:t>
            </w:r>
          </w:p>
        </w:tc>
      </w:tr>
      <w:tr w:rsidR="004C436C" w:rsidRPr="004C436C" w14:paraId="3A10E3CC" w14:textId="77777777" w:rsidTr="003772FC">
        <w:tc>
          <w:tcPr>
            <w:tcW w:w="988" w:type="dxa"/>
          </w:tcPr>
          <w:p w14:paraId="712D80CA" w14:textId="77777777" w:rsidR="00E21DA9" w:rsidRPr="004C436C" w:rsidRDefault="00E21DA9" w:rsidP="003772FC">
            <w:pPr>
              <w:jc w:val="center"/>
              <w:rPr>
                <w:b/>
                <w:bCs/>
                <w:color w:val="000000" w:themeColor="text1"/>
                <w:lang w:val="es-ES"/>
              </w:rPr>
            </w:pPr>
          </w:p>
          <w:p w14:paraId="7176D3EB" w14:textId="0AFB991C" w:rsidR="00405655" w:rsidRPr="004C436C" w:rsidRDefault="003772FC" w:rsidP="003772FC">
            <w:pPr>
              <w:jc w:val="center"/>
              <w:rPr>
                <w:b/>
                <w:bCs/>
                <w:color w:val="000000" w:themeColor="text1"/>
                <w:lang w:val="es-ES"/>
              </w:rPr>
            </w:pPr>
            <w:r w:rsidRPr="004C436C">
              <w:rPr>
                <w:b/>
                <w:bCs/>
                <w:color w:val="000000" w:themeColor="text1"/>
                <w:lang w:val="es-ES"/>
              </w:rPr>
              <w:t>A</w:t>
            </w:r>
          </w:p>
        </w:tc>
        <w:tc>
          <w:tcPr>
            <w:tcW w:w="2835" w:type="dxa"/>
          </w:tcPr>
          <w:p w14:paraId="76ACDA13" w14:textId="5C60407A" w:rsidR="00405655" w:rsidRPr="004C436C" w:rsidRDefault="003772FC" w:rsidP="0057503A">
            <w:pPr>
              <w:jc w:val="both"/>
              <w:rPr>
                <w:color w:val="000000" w:themeColor="text1"/>
                <w:lang w:val="es-ES"/>
              </w:rPr>
            </w:pPr>
            <w:r w:rsidRPr="004C436C">
              <w:rPr>
                <w:color w:val="000000" w:themeColor="text1"/>
                <w:lang w:val="es-ES"/>
              </w:rPr>
              <w:t>Estudiante</w:t>
            </w:r>
            <w:r w:rsidR="00BF3B83" w:rsidRPr="004C436C">
              <w:rPr>
                <w:color w:val="000000" w:themeColor="text1"/>
                <w:lang w:val="es-ES"/>
              </w:rPr>
              <w:t xml:space="preserve">, </w:t>
            </w:r>
            <w:r w:rsidRPr="004C436C">
              <w:rPr>
                <w:color w:val="000000" w:themeColor="text1"/>
                <w:lang w:val="es-ES"/>
              </w:rPr>
              <w:t>párvulo</w:t>
            </w:r>
            <w:r w:rsidR="00874F47" w:rsidRPr="004C436C">
              <w:rPr>
                <w:color w:val="000000" w:themeColor="text1"/>
                <w:lang w:val="es-ES"/>
              </w:rPr>
              <w:t xml:space="preserve"> o funcionario </w:t>
            </w:r>
            <w:r w:rsidRPr="004C436C">
              <w:rPr>
                <w:color w:val="000000" w:themeColor="text1"/>
                <w:lang w:val="es-ES"/>
              </w:rPr>
              <w:t>sospechoso</w:t>
            </w:r>
          </w:p>
        </w:tc>
        <w:tc>
          <w:tcPr>
            <w:tcW w:w="5005" w:type="dxa"/>
          </w:tcPr>
          <w:p w14:paraId="1B204E86" w14:textId="0AC25A21" w:rsidR="00405655" w:rsidRPr="004C436C" w:rsidRDefault="00167B9E" w:rsidP="0057503A">
            <w:pPr>
              <w:jc w:val="both"/>
              <w:rPr>
                <w:color w:val="000000" w:themeColor="text1"/>
                <w:lang w:val="es-ES"/>
              </w:rPr>
            </w:pPr>
            <w:r w:rsidRPr="004C436C">
              <w:rPr>
                <w:color w:val="000000" w:themeColor="text1"/>
                <w:lang w:val="es-ES"/>
              </w:rPr>
              <w:t xml:space="preserve">- </w:t>
            </w:r>
            <w:r w:rsidR="00FC133B" w:rsidRPr="004C436C">
              <w:rPr>
                <w:color w:val="000000" w:themeColor="text1"/>
                <w:lang w:val="es-ES"/>
              </w:rPr>
              <w:t>Deberá ser trasladado el espacio de aislamiento.</w:t>
            </w:r>
          </w:p>
          <w:p w14:paraId="68BE7045" w14:textId="73965EDC" w:rsidR="00167B9E" w:rsidRPr="004C436C" w:rsidRDefault="00167B9E" w:rsidP="0057503A">
            <w:pPr>
              <w:jc w:val="both"/>
              <w:rPr>
                <w:color w:val="000000" w:themeColor="text1"/>
                <w:lang w:val="es-ES"/>
              </w:rPr>
            </w:pPr>
            <w:r w:rsidRPr="004C436C">
              <w:rPr>
                <w:color w:val="000000" w:themeColor="text1"/>
                <w:lang w:val="es-ES"/>
              </w:rPr>
              <w:t xml:space="preserve">- </w:t>
            </w:r>
            <w:r w:rsidR="00121D94" w:rsidRPr="004C436C">
              <w:rPr>
                <w:color w:val="000000" w:themeColor="text1"/>
                <w:lang w:val="es-ES"/>
              </w:rPr>
              <w:t>Debe solicitarse la realización de un</w:t>
            </w:r>
            <w:r w:rsidRPr="004C436C">
              <w:rPr>
                <w:color w:val="000000" w:themeColor="text1"/>
                <w:lang w:val="es-ES"/>
              </w:rPr>
              <w:t xml:space="preserve"> </w:t>
            </w:r>
            <w:r w:rsidR="00B13736" w:rsidRPr="004C436C">
              <w:rPr>
                <w:color w:val="000000" w:themeColor="text1"/>
                <w:lang w:val="es-ES"/>
              </w:rPr>
              <w:t>test PCR o prueba de detección de antígenos</w:t>
            </w:r>
          </w:p>
          <w:p w14:paraId="0E2FB432" w14:textId="77777777" w:rsidR="00B13736" w:rsidRPr="004C436C" w:rsidRDefault="00B13736" w:rsidP="0057503A">
            <w:pPr>
              <w:jc w:val="both"/>
              <w:rPr>
                <w:color w:val="000000" w:themeColor="text1"/>
                <w:lang w:val="es-ES"/>
              </w:rPr>
            </w:pPr>
            <w:r w:rsidRPr="004C436C">
              <w:rPr>
                <w:color w:val="000000" w:themeColor="text1"/>
                <w:lang w:val="es-ES"/>
              </w:rPr>
              <w:t>- Regresa al establecimiento si el resultado es negativo</w:t>
            </w:r>
            <w:r w:rsidR="00D2232A" w:rsidRPr="004C436C">
              <w:rPr>
                <w:color w:val="000000" w:themeColor="text1"/>
                <w:lang w:val="es-ES"/>
              </w:rPr>
              <w:t>.</w:t>
            </w:r>
          </w:p>
          <w:p w14:paraId="603706E8" w14:textId="408156A3" w:rsidR="009D7070" w:rsidRPr="004C436C" w:rsidRDefault="009D7070" w:rsidP="0057503A">
            <w:pPr>
              <w:jc w:val="both"/>
              <w:rPr>
                <w:color w:val="000000" w:themeColor="text1"/>
                <w:lang w:val="es-ES"/>
              </w:rPr>
            </w:pPr>
            <w:r w:rsidRPr="004C436C">
              <w:rPr>
                <w:color w:val="000000" w:themeColor="text1"/>
                <w:lang w:val="es-ES"/>
              </w:rPr>
              <w:t>- Las personas expuestas</w:t>
            </w:r>
            <w:r w:rsidR="00436EE0" w:rsidRPr="004C436C">
              <w:rPr>
                <w:color w:val="000000" w:themeColor="text1"/>
                <w:lang w:val="es-ES"/>
              </w:rPr>
              <w:t xml:space="preserve"> continúan en actividades habituales</w:t>
            </w:r>
            <w:r w:rsidR="004647BD" w:rsidRPr="004C436C">
              <w:rPr>
                <w:color w:val="000000" w:themeColor="text1"/>
                <w:lang w:val="es-ES"/>
              </w:rPr>
              <w:t xml:space="preserve"> con recomendación de automonitoreo. Si aparecen síntomas, se </w:t>
            </w:r>
            <w:r w:rsidR="00A4304B" w:rsidRPr="004C436C">
              <w:rPr>
                <w:color w:val="000000" w:themeColor="text1"/>
                <w:lang w:val="es-ES"/>
              </w:rPr>
              <w:t>deberán realizar las medidas de un caso sospechoso.</w:t>
            </w:r>
          </w:p>
        </w:tc>
      </w:tr>
      <w:tr w:rsidR="004C436C" w:rsidRPr="004C436C" w14:paraId="4C5C949D" w14:textId="77777777" w:rsidTr="003772FC">
        <w:tc>
          <w:tcPr>
            <w:tcW w:w="988" w:type="dxa"/>
          </w:tcPr>
          <w:p w14:paraId="587E523E" w14:textId="77777777" w:rsidR="00E21DA9" w:rsidRPr="004C436C" w:rsidRDefault="00E21DA9" w:rsidP="003772FC">
            <w:pPr>
              <w:jc w:val="center"/>
              <w:rPr>
                <w:b/>
                <w:bCs/>
                <w:color w:val="000000" w:themeColor="text1"/>
                <w:lang w:val="es-ES"/>
              </w:rPr>
            </w:pPr>
          </w:p>
          <w:p w14:paraId="2A16165A" w14:textId="77777777" w:rsidR="00E21DA9" w:rsidRPr="004C436C" w:rsidRDefault="00E21DA9" w:rsidP="003772FC">
            <w:pPr>
              <w:jc w:val="center"/>
              <w:rPr>
                <w:b/>
                <w:bCs/>
                <w:color w:val="000000" w:themeColor="text1"/>
                <w:lang w:val="es-ES"/>
              </w:rPr>
            </w:pPr>
          </w:p>
          <w:p w14:paraId="1D1ACAD4" w14:textId="77777777" w:rsidR="00E21DA9" w:rsidRPr="004C436C" w:rsidRDefault="00E21DA9" w:rsidP="003772FC">
            <w:pPr>
              <w:jc w:val="center"/>
              <w:rPr>
                <w:b/>
                <w:bCs/>
                <w:color w:val="000000" w:themeColor="text1"/>
                <w:lang w:val="es-ES"/>
              </w:rPr>
            </w:pPr>
          </w:p>
          <w:p w14:paraId="58A0E69B" w14:textId="2C6440E8" w:rsidR="00FB4F64" w:rsidRPr="004C436C" w:rsidRDefault="00FB4F64" w:rsidP="003772FC">
            <w:pPr>
              <w:jc w:val="center"/>
              <w:rPr>
                <w:b/>
                <w:bCs/>
                <w:color w:val="000000" w:themeColor="text1"/>
                <w:lang w:val="es-ES"/>
              </w:rPr>
            </w:pPr>
            <w:r w:rsidRPr="004C436C">
              <w:rPr>
                <w:b/>
                <w:bCs/>
                <w:color w:val="000000" w:themeColor="text1"/>
                <w:lang w:val="es-ES"/>
              </w:rPr>
              <w:t>B</w:t>
            </w:r>
          </w:p>
        </w:tc>
        <w:tc>
          <w:tcPr>
            <w:tcW w:w="2835" w:type="dxa"/>
          </w:tcPr>
          <w:p w14:paraId="2FBB9E1A" w14:textId="6AC224A4" w:rsidR="00FB4F64" w:rsidRPr="004C436C" w:rsidRDefault="00FB4F64" w:rsidP="0057503A">
            <w:pPr>
              <w:jc w:val="both"/>
              <w:rPr>
                <w:color w:val="000000" w:themeColor="text1"/>
                <w:lang w:val="es-ES"/>
              </w:rPr>
            </w:pPr>
            <w:r w:rsidRPr="004C436C">
              <w:rPr>
                <w:color w:val="000000" w:themeColor="text1"/>
                <w:lang w:val="es-ES"/>
              </w:rPr>
              <w:t>Estudiante</w:t>
            </w:r>
            <w:r w:rsidR="003D3594" w:rsidRPr="004C436C">
              <w:rPr>
                <w:color w:val="000000" w:themeColor="text1"/>
                <w:lang w:val="es-ES"/>
              </w:rPr>
              <w:t xml:space="preserve">, </w:t>
            </w:r>
            <w:r w:rsidRPr="004C436C">
              <w:rPr>
                <w:color w:val="000000" w:themeColor="text1"/>
                <w:lang w:val="es-ES"/>
              </w:rPr>
              <w:t>párvulo</w:t>
            </w:r>
            <w:r w:rsidR="003D3594" w:rsidRPr="004C436C">
              <w:rPr>
                <w:color w:val="000000" w:themeColor="text1"/>
                <w:lang w:val="es-ES"/>
              </w:rPr>
              <w:t xml:space="preserve"> o funcionario</w:t>
            </w:r>
            <w:r w:rsidRPr="004C436C">
              <w:rPr>
                <w:color w:val="000000" w:themeColor="text1"/>
                <w:lang w:val="es-ES"/>
              </w:rPr>
              <w:t xml:space="preserve"> confirmado</w:t>
            </w:r>
          </w:p>
        </w:tc>
        <w:tc>
          <w:tcPr>
            <w:tcW w:w="5005" w:type="dxa"/>
          </w:tcPr>
          <w:p w14:paraId="040DE5EC" w14:textId="5467089E" w:rsidR="00FB4F64" w:rsidRPr="004C436C" w:rsidRDefault="00FB4F64" w:rsidP="0057503A">
            <w:pPr>
              <w:jc w:val="both"/>
              <w:rPr>
                <w:color w:val="000000" w:themeColor="text1"/>
                <w:lang w:val="es-ES"/>
              </w:rPr>
            </w:pPr>
            <w:r w:rsidRPr="004C436C">
              <w:rPr>
                <w:color w:val="000000" w:themeColor="text1"/>
                <w:lang w:val="es-ES"/>
              </w:rPr>
              <w:t xml:space="preserve">- </w:t>
            </w:r>
            <w:r w:rsidR="00B631D1" w:rsidRPr="004C436C">
              <w:rPr>
                <w:color w:val="000000" w:themeColor="text1"/>
                <w:lang w:val="es-ES"/>
              </w:rPr>
              <w:t xml:space="preserve">Aislamiento </w:t>
            </w:r>
            <w:r w:rsidR="001D78A1" w:rsidRPr="004C436C">
              <w:rPr>
                <w:color w:val="000000" w:themeColor="text1"/>
                <w:lang w:val="es-ES"/>
              </w:rPr>
              <w:t>según normativa vigente.</w:t>
            </w:r>
          </w:p>
          <w:p w14:paraId="194702B4" w14:textId="539DD4C0" w:rsidR="004569B3" w:rsidRPr="004C436C" w:rsidRDefault="004569B3" w:rsidP="0057503A">
            <w:pPr>
              <w:jc w:val="both"/>
              <w:rPr>
                <w:color w:val="000000" w:themeColor="text1"/>
                <w:lang w:val="es-ES"/>
              </w:rPr>
            </w:pPr>
            <w:r w:rsidRPr="004C436C">
              <w:rPr>
                <w:color w:val="000000" w:themeColor="text1"/>
                <w:lang w:val="es-ES"/>
              </w:rPr>
              <w:t xml:space="preserve">- </w:t>
            </w:r>
            <w:r w:rsidR="007B780D" w:rsidRPr="004C436C">
              <w:rPr>
                <w:color w:val="000000" w:themeColor="text1"/>
                <w:lang w:val="es-ES"/>
              </w:rPr>
              <w:t xml:space="preserve">El apoderado o funcionario deberá dar aviso inmediato al colegio, presentando el documento que acredite el resultado </w:t>
            </w:r>
            <w:r w:rsidR="006620C8" w:rsidRPr="004C436C">
              <w:rPr>
                <w:color w:val="000000" w:themeColor="text1"/>
                <w:lang w:val="es-ES"/>
              </w:rPr>
              <w:t>del test aplicado.</w:t>
            </w:r>
          </w:p>
          <w:p w14:paraId="66F60F3C" w14:textId="77777777" w:rsidR="004A6A49" w:rsidRPr="004C436C" w:rsidRDefault="00B631D1" w:rsidP="0057503A">
            <w:pPr>
              <w:jc w:val="both"/>
              <w:rPr>
                <w:color w:val="000000" w:themeColor="text1"/>
                <w:lang w:val="es-ES"/>
              </w:rPr>
            </w:pPr>
            <w:r w:rsidRPr="004C436C">
              <w:rPr>
                <w:color w:val="000000" w:themeColor="text1"/>
                <w:lang w:val="es-ES"/>
              </w:rPr>
              <w:t xml:space="preserve">- </w:t>
            </w:r>
            <w:r w:rsidR="00A57AEE" w:rsidRPr="004C436C">
              <w:rPr>
                <w:color w:val="000000" w:themeColor="text1"/>
                <w:lang w:val="es-ES"/>
              </w:rPr>
              <w:t>El colegio dará aviso al curso que estará en Alerta COVID</w:t>
            </w:r>
            <w:r w:rsidR="007E2BFB" w:rsidRPr="004C436C">
              <w:rPr>
                <w:color w:val="000000" w:themeColor="text1"/>
                <w:lang w:val="es-ES"/>
              </w:rPr>
              <w:t>. Continúan en clases presenciales.</w:t>
            </w:r>
          </w:p>
          <w:p w14:paraId="120BF1E4" w14:textId="77777777" w:rsidR="007E2BFB" w:rsidRPr="004C436C" w:rsidRDefault="007E2BFB" w:rsidP="0057503A">
            <w:pPr>
              <w:jc w:val="both"/>
              <w:rPr>
                <w:color w:val="000000" w:themeColor="text1"/>
                <w:lang w:val="es-ES"/>
              </w:rPr>
            </w:pPr>
            <w:r w:rsidRPr="004C436C">
              <w:rPr>
                <w:color w:val="000000" w:themeColor="text1"/>
                <w:lang w:val="es-ES"/>
              </w:rPr>
              <w:t xml:space="preserve">- </w:t>
            </w:r>
            <w:r w:rsidR="000622C4" w:rsidRPr="004C436C">
              <w:rPr>
                <w:color w:val="000000" w:themeColor="text1"/>
                <w:lang w:val="es-ES"/>
              </w:rPr>
              <w:t>El curso en Alerta COVID deberá estar atento a la aparición de síntomas.</w:t>
            </w:r>
          </w:p>
          <w:p w14:paraId="539A4D9C" w14:textId="77777777" w:rsidR="00923170" w:rsidRPr="004C436C" w:rsidRDefault="00923170" w:rsidP="0057503A">
            <w:pPr>
              <w:jc w:val="both"/>
              <w:rPr>
                <w:color w:val="000000" w:themeColor="text1"/>
                <w:lang w:val="es-ES"/>
              </w:rPr>
            </w:pPr>
            <w:r w:rsidRPr="004C436C">
              <w:rPr>
                <w:color w:val="000000" w:themeColor="text1"/>
                <w:lang w:val="es-ES"/>
              </w:rPr>
              <w:t xml:space="preserve">- </w:t>
            </w:r>
            <w:r w:rsidR="00707813" w:rsidRPr="004C436C">
              <w:rPr>
                <w:color w:val="000000" w:themeColor="text1"/>
                <w:lang w:val="es-ES"/>
              </w:rPr>
              <w:t>S</w:t>
            </w:r>
            <w:r w:rsidRPr="004C436C">
              <w:rPr>
                <w:color w:val="000000" w:themeColor="text1"/>
                <w:lang w:val="es-ES"/>
              </w:rPr>
              <w:t xml:space="preserve">e deberán reforzar </w:t>
            </w:r>
            <w:r w:rsidR="006E0BB3" w:rsidRPr="004C436C">
              <w:rPr>
                <w:color w:val="000000" w:themeColor="text1"/>
                <w:lang w:val="es-ES"/>
              </w:rPr>
              <w:t>las medidas de ventilación, evitar aglomeraciones y procurar el lavado frecuente de manos</w:t>
            </w:r>
            <w:r w:rsidR="00E30F6D" w:rsidRPr="004C436C">
              <w:rPr>
                <w:color w:val="000000" w:themeColor="text1"/>
                <w:lang w:val="es-ES"/>
              </w:rPr>
              <w:t>.</w:t>
            </w:r>
          </w:p>
          <w:p w14:paraId="4BAD2476" w14:textId="546FED06" w:rsidR="00D3560E" w:rsidRPr="004C436C" w:rsidRDefault="00D3560E" w:rsidP="0057503A">
            <w:pPr>
              <w:jc w:val="both"/>
              <w:rPr>
                <w:color w:val="000000" w:themeColor="text1"/>
                <w:lang w:val="es-ES"/>
              </w:rPr>
            </w:pPr>
            <w:r w:rsidRPr="004C436C">
              <w:rPr>
                <w:color w:val="000000" w:themeColor="text1"/>
                <w:lang w:val="es-ES"/>
              </w:rPr>
              <w:t xml:space="preserve">- </w:t>
            </w:r>
            <w:r w:rsidR="00DB0462" w:rsidRPr="004C436C">
              <w:rPr>
                <w:color w:val="000000" w:themeColor="text1"/>
                <w:lang w:val="es-ES"/>
              </w:rPr>
              <w:t xml:space="preserve">El profesor o profesora jefe completará el Formulario de Datos </w:t>
            </w:r>
            <w:r w:rsidR="008B2A02" w:rsidRPr="004C436C">
              <w:rPr>
                <w:color w:val="000000" w:themeColor="text1"/>
                <w:lang w:val="es-ES"/>
              </w:rPr>
              <w:t xml:space="preserve">que se usará para dar aviso a la SEREMI de Salud. Si el caso confirmado es un funcionario. Será éste </w:t>
            </w:r>
            <w:r w:rsidR="002C46FC" w:rsidRPr="004C436C">
              <w:rPr>
                <w:color w:val="000000" w:themeColor="text1"/>
                <w:lang w:val="es-ES"/>
              </w:rPr>
              <w:t>quien complete el formulario.</w:t>
            </w:r>
          </w:p>
        </w:tc>
      </w:tr>
      <w:tr w:rsidR="004C436C" w:rsidRPr="004C436C" w14:paraId="391B369E" w14:textId="77777777" w:rsidTr="003772FC">
        <w:tc>
          <w:tcPr>
            <w:tcW w:w="988" w:type="dxa"/>
          </w:tcPr>
          <w:p w14:paraId="6E37535E" w14:textId="77777777" w:rsidR="00E21DA9" w:rsidRPr="004C436C" w:rsidRDefault="00E21DA9" w:rsidP="003772FC">
            <w:pPr>
              <w:jc w:val="center"/>
              <w:rPr>
                <w:b/>
                <w:bCs/>
                <w:color w:val="000000" w:themeColor="text1"/>
                <w:lang w:val="es-ES"/>
              </w:rPr>
            </w:pPr>
          </w:p>
          <w:p w14:paraId="43397D9A" w14:textId="77777777" w:rsidR="00E21DA9" w:rsidRPr="004C436C" w:rsidRDefault="00E21DA9" w:rsidP="003772FC">
            <w:pPr>
              <w:jc w:val="center"/>
              <w:rPr>
                <w:b/>
                <w:bCs/>
                <w:color w:val="000000" w:themeColor="text1"/>
                <w:lang w:val="es-ES"/>
              </w:rPr>
            </w:pPr>
          </w:p>
          <w:p w14:paraId="793B8BF3" w14:textId="62357ED5" w:rsidR="00E30F6D" w:rsidRPr="004C436C" w:rsidRDefault="00290374" w:rsidP="003772FC">
            <w:pPr>
              <w:jc w:val="center"/>
              <w:rPr>
                <w:b/>
                <w:bCs/>
                <w:color w:val="000000" w:themeColor="text1"/>
                <w:lang w:val="es-ES"/>
              </w:rPr>
            </w:pPr>
            <w:r w:rsidRPr="004C436C">
              <w:rPr>
                <w:b/>
                <w:bCs/>
                <w:color w:val="000000" w:themeColor="text1"/>
                <w:lang w:val="es-ES"/>
              </w:rPr>
              <w:t>Brotes o conglomerados priorizados</w:t>
            </w:r>
          </w:p>
        </w:tc>
        <w:tc>
          <w:tcPr>
            <w:tcW w:w="2835" w:type="dxa"/>
          </w:tcPr>
          <w:p w14:paraId="7C74DC37" w14:textId="370DAD75" w:rsidR="00E30F6D" w:rsidRPr="004C436C" w:rsidRDefault="00911E54" w:rsidP="0057503A">
            <w:pPr>
              <w:jc w:val="both"/>
              <w:rPr>
                <w:color w:val="000000" w:themeColor="text1"/>
                <w:lang w:val="es-ES"/>
              </w:rPr>
            </w:pPr>
            <w:r w:rsidRPr="004C436C">
              <w:rPr>
                <w:color w:val="000000" w:themeColor="text1"/>
                <w:lang w:val="es-ES"/>
              </w:rPr>
              <w:t>5 o más casos de estudiantes, párvulos o funcionarios confirmados o probables</w:t>
            </w:r>
            <w:r w:rsidR="00940DF5" w:rsidRPr="004C436C">
              <w:rPr>
                <w:color w:val="000000" w:themeColor="text1"/>
                <w:lang w:val="es-ES"/>
              </w:rPr>
              <w:t>, con o sin nexo epidemiológico común, con fecha de inicio de síntomas en los últimos 7 días</w:t>
            </w:r>
            <w:r w:rsidR="006650ED" w:rsidRPr="004C436C">
              <w:rPr>
                <w:color w:val="000000" w:themeColor="text1"/>
                <w:lang w:val="es-ES"/>
              </w:rPr>
              <w:t>, independiente del curso al que pertenezcan los casos.</w:t>
            </w:r>
          </w:p>
        </w:tc>
        <w:tc>
          <w:tcPr>
            <w:tcW w:w="5005" w:type="dxa"/>
          </w:tcPr>
          <w:p w14:paraId="47E2625B" w14:textId="2002D3E9" w:rsidR="00A85754" w:rsidRPr="004C436C" w:rsidRDefault="006650ED" w:rsidP="0057503A">
            <w:pPr>
              <w:jc w:val="both"/>
              <w:rPr>
                <w:color w:val="000000" w:themeColor="text1"/>
                <w:lang w:val="es-ES"/>
              </w:rPr>
            </w:pPr>
            <w:r w:rsidRPr="004C436C">
              <w:rPr>
                <w:color w:val="000000" w:themeColor="text1"/>
                <w:lang w:val="es-ES"/>
              </w:rPr>
              <w:t xml:space="preserve">Aislamiento del </w:t>
            </w:r>
            <w:r w:rsidR="006347C0" w:rsidRPr="004C436C">
              <w:rPr>
                <w:color w:val="000000" w:themeColor="text1"/>
                <w:lang w:val="es-ES"/>
              </w:rPr>
              <w:t xml:space="preserve">o los casos </w:t>
            </w:r>
            <w:r w:rsidRPr="004C436C">
              <w:rPr>
                <w:color w:val="000000" w:themeColor="text1"/>
                <w:lang w:val="es-ES"/>
              </w:rPr>
              <w:t>caso confirmado</w:t>
            </w:r>
            <w:r w:rsidR="006347C0" w:rsidRPr="004C436C">
              <w:rPr>
                <w:color w:val="000000" w:themeColor="text1"/>
                <w:lang w:val="es-ES"/>
              </w:rPr>
              <w:t>s</w:t>
            </w:r>
            <w:r w:rsidRPr="004C436C">
              <w:rPr>
                <w:color w:val="000000" w:themeColor="text1"/>
                <w:lang w:val="es-ES"/>
              </w:rPr>
              <w:t xml:space="preserve"> o probable</w:t>
            </w:r>
            <w:r w:rsidR="006347C0" w:rsidRPr="004C436C">
              <w:rPr>
                <w:color w:val="000000" w:themeColor="text1"/>
                <w:lang w:val="es-ES"/>
              </w:rPr>
              <w:t>s</w:t>
            </w:r>
            <w:r w:rsidRPr="004C436C">
              <w:rPr>
                <w:color w:val="000000" w:themeColor="text1"/>
                <w:lang w:val="es-ES"/>
              </w:rPr>
              <w:t xml:space="preserve"> según normativa vigente</w:t>
            </w:r>
            <w:r w:rsidR="0049388D" w:rsidRPr="004C436C">
              <w:rPr>
                <w:color w:val="000000" w:themeColor="text1"/>
                <w:lang w:val="es-ES"/>
              </w:rPr>
              <w:t>.</w:t>
            </w:r>
          </w:p>
          <w:p w14:paraId="160EE04C" w14:textId="77777777" w:rsidR="0049388D" w:rsidRPr="004C436C" w:rsidRDefault="0049388D" w:rsidP="0057503A">
            <w:pPr>
              <w:jc w:val="both"/>
              <w:rPr>
                <w:color w:val="000000" w:themeColor="text1"/>
                <w:lang w:val="es-ES"/>
              </w:rPr>
            </w:pPr>
            <w:r w:rsidRPr="004C436C">
              <w:rPr>
                <w:color w:val="000000" w:themeColor="text1"/>
                <w:lang w:val="es-ES"/>
              </w:rPr>
              <w:t>La dirección del EE deberá informar de esta situación a los apoderados</w:t>
            </w:r>
            <w:r w:rsidR="00167BE2" w:rsidRPr="004C436C">
              <w:rPr>
                <w:color w:val="000000" w:themeColor="text1"/>
                <w:lang w:val="es-ES"/>
              </w:rPr>
              <w:t xml:space="preserve"> y a los trabajadores que hayan estado expuestos</w:t>
            </w:r>
            <w:r w:rsidR="00324EB2" w:rsidRPr="004C436C">
              <w:rPr>
                <w:color w:val="000000" w:themeColor="text1"/>
                <w:lang w:val="es-ES"/>
              </w:rPr>
              <w:t>, además de la SEREMI de Salud.</w:t>
            </w:r>
          </w:p>
          <w:p w14:paraId="2DFF76F2" w14:textId="77777777" w:rsidR="00324EB2" w:rsidRPr="004C436C" w:rsidRDefault="00324EB2" w:rsidP="00324EB2">
            <w:pPr>
              <w:jc w:val="both"/>
              <w:rPr>
                <w:color w:val="000000" w:themeColor="text1"/>
                <w:lang w:val="es-ES"/>
              </w:rPr>
            </w:pPr>
          </w:p>
          <w:p w14:paraId="551339F6" w14:textId="77777777" w:rsidR="00324EB2" w:rsidRPr="004C436C" w:rsidRDefault="00324EB2" w:rsidP="00324EB2">
            <w:pPr>
              <w:jc w:val="both"/>
              <w:rPr>
                <w:color w:val="000000" w:themeColor="text1"/>
                <w:lang w:val="es-ES"/>
              </w:rPr>
            </w:pPr>
            <w:r w:rsidRPr="004C436C">
              <w:rPr>
                <w:color w:val="000000" w:themeColor="text1"/>
                <w:lang w:val="es-ES"/>
              </w:rPr>
              <w:t>La</w:t>
            </w:r>
            <w:r w:rsidR="001E4AD5" w:rsidRPr="004C436C">
              <w:rPr>
                <w:color w:val="000000" w:themeColor="text1"/>
                <w:lang w:val="es-ES"/>
              </w:rPr>
              <w:t xml:space="preserve"> población expuesta (que no ha enfermado) continúa en actividades</w:t>
            </w:r>
            <w:r w:rsidR="00BE20C2" w:rsidRPr="004C436C">
              <w:rPr>
                <w:color w:val="000000" w:themeColor="text1"/>
                <w:lang w:val="es-ES"/>
              </w:rPr>
              <w:t xml:space="preserve"> habituales con recomendación de automonitoreo ante posible inicio de síntomas</w:t>
            </w:r>
            <w:r w:rsidR="00BD4849" w:rsidRPr="004C436C">
              <w:rPr>
                <w:color w:val="000000" w:themeColor="text1"/>
                <w:lang w:val="es-ES"/>
              </w:rPr>
              <w:t>. De iniciar síntomas se deben aplicar las medidas para un caso sospechoso.</w:t>
            </w:r>
          </w:p>
          <w:p w14:paraId="33675DE1" w14:textId="77777777" w:rsidR="0024408B" w:rsidRPr="004C436C" w:rsidRDefault="0024408B" w:rsidP="00324EB2">
            <w:pPr>
              <w:jc w:val="both"/>
              <w:rPr>
                <w:color w:val="000000" w:themeColor="text1"/>
                <w:lang w:val="es-ES"/>
              </w:rPr>
            </w:pPr>
          </w:p>
          <w:p w14:paraId="0E4C3615" w14:textId="77777777" w:rsidR="00BD4849" w:rsidRPr="004C436C" w:rsidRDefault="001E3A09" w:rsidP="00324EB2">
            <w:pPr>
              <w:jc w:val="both"/>
              <w:rPr>
                <w:color w:val="000000" w:themeColor="text1"/>
                <w:lang w:val="es-ES"/>
              </w:rPr>
            </w:pPr>
            <w:r w:rsidRPr="004C436C">
              <w:rPr>
                <w:color w:val="000000" w:themeColor="text1"/>
                <w:lang w:val="es-ES"/>
              </w:rPr>
              <w:t xml:space="preserve">La Autoridad Sanitaria realizará </w:t>
            </w:r>
            <w:r w:rsidR="009F76D0" w:rsidRPr="004C436C">
              <w:rPr>
                <w:color w:val="000000" w:themeColor="text1"/>
                <w:lang w:val="es-ES"/>
              </w:rPr>
              <w:t>la investigación epidemiológica</w:t>
            </w:r>
            <w:r w:rsidR="00C7189B" w:rsidRPr="004C436C">
              <w:rPr>
                <w:color w:val="000000" w:themeColor="text1"/>
                <w:lang w:val="es-ES"/>
              </w:rPr>
              <w:t xml:space="preserve"> y </w:t>
            </w:r>
            <w:r w:rsidR="001770A2" w:rsidRPr="004C436C">
              <w:rPr>
                <w:color w:val="000000" w:themeColor="text1"/>
                <w:lang w:val="es-ES"/>
              </w:rPr>
              <w:t>entregará las medidas de Salud Pública para detener la propagación</w:t>
            </w:r>
            <w:r w:rsidR="00436D30" w:rsidRPr="004C436C">
              <w:rPr>
                <w:color w:val="000000" w:themeColor="text1"/>
                <w:lang w:val="es-ES"/>
              </w:rPr>
              <w:t xml:space="preserve"> del virus dentro del EE. </w:t>
            </w:r>
          </w:p>
          <w:p w14:paraId="70E3AE46" w14:textId="77777777" w:rsidR="0024408B" w:rsidRPr="004C436C" w:rsidRDefault="0024408B" w:rsidP="00324EB2">
            <w:pPr>
              <w:jc w:val="both"/>
              <w:rPr>
                <w:color w:val="000000" w:themeColor="text1"/>
                <w:lang w:val="es-ES"/>
              </w:rPr>
            </w:pPr>
          </w:p>
          <w:p w14:paraId="185D07CA" w14:textId="77777777" w:rsidR="00436D30" w:rsidRPr="004C436C" w:rsidRDefault="00436D30" w:rsidP="00324EB2">
            <w:pPr>
              <w:jc w:val="both"/>
              <w:rPr>
                <w:color w:val="000000" w:themeColor="text1"/>
                <w:lang w:val="es-ES"/>
              </w:rPr>
            </w:pPr>
            <w:r w:rsidRPr="004C436C">
              <w:rPr>
                <w:color w:val="000000" w:themeColor="text1"/>
                <w:lang w:val="es-ES"/>
              </w:rPr>
              <w:t xml:space="preserve">El brote o conglomerado se dará por finalizado cuando hayan transcurrido </w:t>
            </w:r>
            <w:r w:rsidR="00466543" w:rsidRPr="004C436C">
              <w:rPr>
                <w:color w:val="000000" w:themeColor="text1"/>
                <w:lang w:val="es-ES"/>
              </w:rPr>
              <w:t xml:space="preserve">7 días sin nuevos casos confirmados en el EE, desde el último caso confirmado asociado al evento registrado. </w:t>
            </w:r>
          </w:p>
          <w:p w14:paraId="2A311C66" w14:textId="64C5EE8A" w:rsidR="009B06A4" w:rsidRPr="004C436C" w:rsidRDefault="009B06A4" w:rsidP="00324EB2">
            <w:pPr>
              <w:jc w:val="both"/>
              <w:rPr>
                <w:color w:val="000000" w:themeColor="text1"/>
                <w:lang w:val="es-ES"/>
              </w:rPr>
            </w:pPr>
          </w:p>
        </w:tc>
      </w:tr>
      <w:tr w:rsidR="00B37A62" w:rsidRPr="004C436C" w14:paraId="4A53C9DC" w14:textId="77777777" w:rsidTr="003772FC">
        <w:tc>
          <w:tcPr>
            <w:tcW w:w="988" w:type="dxa"/>
          </w:tcPr>
          <w:p w14:paraId="62B03115" w14:textId="48290784" w:rsidR="00B37A62" w:rsidRPr="004C436C" w:rsidRDefault="008F29D4" w:rsidP="003772FC">
            <w:pPr>
              <w:jc w:val="center"/>
              <w:rPr>
                <w:b/>
                <w:bCs/>
                <w:color w:val="000000" w:themeColor="text1"/>
                <w:lang w:val="es-ES"/>
              </w:rPr>
            </w:pPr>
            <w:r w:rsidRPr="004C436C">
              <w:rPr>
                <w:b/>
                <w:bCs/>
                <w:color w:val="000000" w:themeColor="text1"/>
                <w:lang w:val="es-ES"/>
              </w:rPr>
              <w:t>Brote o Conglomerado no priorizado</w:t>
            </w:r>
          </w:p>
        </w:tc>
        <w:tc>
          <w:tcPr>
            <w:tcW w:w="2835" w:type="dxa"/>
          </w:tcPr>
          <w:p w14:paraId="1C57CBF2" w14:textId="35049832" w:rsidR="00B37A62" w:rsidRPr="004C436C" w:rsidRDefault="008F29D4" w:rsidP="0057503A">
            <w:pPr>
              <w:jc w:val="both"/>
              <w:rPr>
                <w:color w:val="000000" w:themeColor="text1"/>
                <w:lang w:val="es-ES"/>
              </w:rPr>
            </w:pPr>
            <w:r w:rsidRPr="004C436C">
              <w:rPr>
                <w:color w:val="000000" w:themeColor="text1"/>
                <w:lang w:val="es-ES"/>
              </w:rPr>
              <w:t xml:space="preserve">2 a 4 casos de estudiantes, párvulos o funcionarios confirmados o probables, </w:t>
            </w:r>
            <w:r w:rsidRPr="004C436C">
              <w:rPr>
                <w:color w:val="000000" w:themeColor="text1"/>
                <w:lang w:val="es-ES"/>
              </w:rPr>
              <w:lastRenderedPageBreak/>
              <w:t>con o sin nexo epidemiológico</w:t>
            </w:r>
            <w:r w:rsidR="0027664B" w:rsidRPr="004C436C">
              <w:rPr>
                <w:color w:val="000000" w:themeColor="text1"/>
                <w:lang w:val="es-ES"/>
              </w:rPr>
              <w:t xml:space="preserve"> común, con fecha de inicio de síntomas en los últimos 7 días, independiente del curso al que pertenezcan estos casos. </w:t>
            </w:r>
          </w:p>
        </w:tc>
        <w:tc>
          <w:tcPr>
            <w:tcW w:w="5005" w:type="dxa"/>
          </w:tcPr>
          <w:p w14:paraId="320A0559" w14:textId="77777777" w:rsidR="00B37A62" w:rsidRPr="004C436C" w:rsidRDefault="006347C0" w:rsidP="0057503A">
            <w:pPr>
              <w:jc w:val="both"/>
              <w:rPr>
                <w:color w:val="000000" w:themeColor="text1"/>
                <w:lang w:val="es-ES"/>
              </w:rPr>
            </w:pPr>
            <w:r w:rsidRPr="004C436C">
              <w:rPr>
                <w:color w:val="000000" w:themeColor="text1"/>
                <w:lang w:val="es-ES"/>
              </w:rPr>
              <w:lastRenderedPageBreak/>
              <w:t>Aislamiento del o los casos confirmados o probables según normativa vigente.</w:t>
            </w:r>
          </w:p>
          <w:p w14:paraId="1CC64A5E" w14:textId="77777777" w:rsidR="00CA0183" w:rsidRPr="004C436C" w:rsidRDefault="00CA0183" w:rsidP="0057503A">
            <w:pPr>
              <w:jc w:val="both"/>
              <w:rPr>
                <w:color w:val="000000" w:themeColor="text1"/>
                <w:lang w:val="es-ES"/>
              </w:rPr>
            </w:pPr>
          </w:p>
          <w:p w14:paraId="2385E294" w14:textId="77777777" w:rsidR="00CA0183" w:rsidRPr="004C436C" w:rsidRDefault="00BB330B" w:rsidP="00BB330B">
            <w:pPr>
              <w:jc w:val="both"/>
              <w:rPr>
                <w:color w:val="000000" w:themeColor="text1"/>
                <w:lang w:val="es-ES"/>
              </w:rPr>
            </w:pPr>
            <w:r w:rsidRPr="004C436C">
              <w:rPr>
                <w:color w:val="000000" w:themeColor="text1"/>
                <w:lang w:val="es-ES"/>
              </w:rPr>
              <w:lastRenderedPageBreak/>
              <w:t>La dirección del EE deberá informar de esta situación a los apoderados y a los trabajadores que hayan estado expuestos</w:t>
            </w:r>
            <w:r w:rsidR="00A77487" w:rsidRPr="004C436C">
              <w:rPr>
                <w:color w:val="000000" w:themeColor="text1"/>
                <w:lang w:val="es-ES"/>
              </w:rPr>
              <w:t xml:space="preserve">. No es necesario </w:t>
            </w:r>
            <w:r w:rsidR="00775702" w:rsidRPr="004C436C">
              <w:rPr>
                <w:color w:val="000000" w:themeColor="text1"/>
                <w:lang w:val="es-ES"/>
              </w:rPr>
              <w:t>en estas situaciones informar a la SEREMI de Salud.</w:t>
            </w:r>
          </w:p>
          <w:p w14:paraId="7599E916" w14:textId="7E1FC2EC" w:rsidR="00BB330B" w:rsidRPr="004C436C" w:rsidRDefault="00775702" w:rsidP="00BB330B">
            <w:pPr>
              <w:jc w:val="both"/>
              <w:rPr>
                <w:color w:val="000000" w:themeColor="text1"/>
                <w:lang w:val="es-ES"/>
              </w:rPr>
            </w:pPr>
            <w:r w:rsidRPr="004C436C">
              <w:rPr>
                <w:color w:val="000000" w:themeColor="text1"/>
                <w:lang w:val="es-ES"/>
              </w:rPr>
              <w:t xml:space="preserve"> </w:t>
            </w:r>
          </w:p>
          <w:p w14:paraId="15EB7550" w14:textId="77777777" w:rsidR="00CA0183" w:rsidRPr="004C436C" w:rsidRDefault="00CA0183" w:rsidP="00CA0183">
            <w:pPr>
              <w:jc w:val="both"/>
              <w:rPr>
                <w:color w:val="000000" w:themeColor="text1"/>
                <w:lang w:val="es-ES"/>
              </w:rPr>
            </w:pPr>
            <w:r w:rsidRPr="004C436C">
              <w:rPr>
                <w:color w:val="000000" w:themeColor="text1"/>
                <w:lang w:val="es-ES"/>
              </w:rPr>
              <w:t>La población expuesta (que no ha enfermado) continúa en actividades habituales con recomendación de automonitoreo ante posible inicio de síntomas. De iniciar síntomas se deben aplicar las medidas para un caso sospechoso.</w:t>
            </w:r>
          </w:p>
          <w:p w14:paraId="07AFF266" w14:textId="77777777" w:rsidR="00775702" w:rsidRPr="004C436C" w:rsidRDefault="00775702" w:rsidP="00BB330B">
            <w:pPr>
              <w:jc w:val="both"/>
              <w:rPr>
                <w:color w:val="000000" w:themeColor="text1"/>
                <w:lang w:val="es-ES"/>
              </w:rPr>
            </w:pPr>
          </w:p>
          <w:p w14:paraId="2A444FE7" w14:textId="19BA2211" w:rsidR="006347C0" w:rsidRPr="004C436C" w:rsidRDefault="0024408B" w:rsidP="0057503A">
            <w:pPr>
              <w:jc w:val="both"/>
              <w:rPr>
                <w:color w:val="000000" w:themeColor="text1"/>
                <w:lang w:val="es-ES"/>
              </w:rPr>
            </w:pPr>
            <w:r w:rsidRPr="004C436C">
              <w:rPr>
                <w:color w:val="000000" w:themeColor="text1"/>
                <w:lang w:val="es-ES"/>
              </w:rPr>
              <w:t>El brote o conglomerado se dará por finalizado cuando hayan transcurrido 7 días sin nuevos casos confirmados en el EE, desde el último caso confirmado asociado al evento registrado</w:t>
            </w:r>
          </w:p>
          <w:p w14:paraId="6F37CA2B" w14:textId="6EEA36C7" w:rsidR="0024408B" w:rsidRPr="004C436C" w:rsidRDefault="0024408B" w:rsidP="0057503A">
            <w:pPr>
              <w:jc w:val="both"/>
              <w:rPr>
                <w:color w:val="000000" w:themeColor="text1"/>
                <w:lang w:val="es-ES"/>
              </w:rPr>
            </w:pPr>
          </w:p>
        </w:tc>
      </w:tr>
    </w:tbl>
    <w:p w14:paraId="3DAA940D" w14:textId="77777777" w:rsidR="005B68E4" w:rsidRPr="004C436C" w:rsidRDefault="005B68E4" w:rsidP="0057503A">
      <w:pPr>
        <w:spacing w:after="0" w:line="240" w:lineRule="auto"/>
        <w:jc w:val="both"/>
        <w:rPr>
          <w:color w:val="000000" w:themeColor="text1"/>
          <w:lang w:val="es-ES"/>
        </w:rPr>
      </w:pPr>
    </w:p>
    <w:sectPr w:rsidR="005B68E4" w:rsidRPr="004C436C" w:rsidSect="00D338F6">
      <w:headerReference w:type="default" r:id="rId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D02DB" w14:textId="77777777" w:rsidR="003E7B4C" w:rsidRDefault="003E7B4C" w:rsidP="004D2353">
      <w:pPr>
        <w:spacing w:after="0" w:line="240" w:lineRule="auto"/>
      </w:pPr>
      <w:r>
        <w:separator/>
      </w:r>
    </w:p>
  </w:endnote>
  <w:endnote w:type="continuationSeparator" w:id="0">
    <w:p w14:paraId="3115ECD6" w14:textId="77777777" w:rsidR="003E7B4C" w:rsidRDefault="003E7B4C" w:rsidP="004D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F2DE5" w14:textId="77777777" w:rsidR="003E7B4C" w:rsidRDefault="003E7B4C" w:rsidP="004D2353">
      <w:pPr>
        <w:spacing w:after="0" w:line="240" w:lineRule="auto"/>
      </w:pPr>
      <w:r>
        <w:separator/>
      </w:r>
    </w:p>
  </w:footnote>
  <w:footnote w:type="continuationSeparator" w:id="0">
    <w:p w14:paraId="52DA57FD" w14:textId="77777777" w:rsidR="003E7B4C" w:rsidRDefault="003E7B4C" w:rsidP="004D2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48C4" w14:textId="5346B013" w:rsidR="004D2353" w:rsidRDefault="004D2353">
    <w:pPr>
      <w:pStyle w:val="Encabezado"/>
    </w:pPr>
    <w:r>
      <w:rPr>
        <w:noProof/>
      </w:rPr>
      <mc:AlternateContent>
        <mc:Choice Requires="wps">
          <w:drawing>
            <wp:anchor distT="0" distB="0" distL="114300" distR="114300" simplePos="0" relativeHeight="251659264" behindDoc="0" locked="0" layoutInCell="1" allowOverlap="1" wp14:anchorId="59DDA104" wp14:editId="5FA9F620">
              <wp:simplePos x="0" y="0"/>
              <wp:positionH relativeFrom="column">
                <wp:posOffset>453390</wp:posOffset>
              </wp:positionH>
              <wp:positionV relativeFrom="paragraph">
                <wp:posOffset>64770</wp:posOffset>
              </wp:positionV>
              <wp:extent cx="2352675" cy="352425"/>
              <wp:effectExtent l="0" t="0" r="9525" b="9525"/>
              <wp:wrapNone/>
              <wp:docPr id="2" name="Cuadro de texto 2"/>
              <wp:cNvGraphicFramePr/>
              <a:graphic xmlns:a="http://schemas.openxmlformats.org/drawingml/2006/main">
                <a:graphicData uri="http://schemas.microsoft.com/office/word/2010/wordprocessingShape">
                  <wps:wsp>
                    <wps:cNvSpPr txBox="1"/>
                    <wps:spPr>
                      <a:xfrm>
                        <a:off x="0" y="0"/>
                        <a:ext cx="2352675" cy="352425"/>
                      </a:xfrm>
                      <a:prstGeom prst="rect">
                        <a:avLst/>
                      </a:prstGeom>
                      <a:solidFill>
                        <a:schemeClr val="lt1"/>
                      </a:solidFill>
                      <a:ln w="6350">
                        <a:noFill/>
                      </a:ln>
                    </wps:spPr>
                    <wps:txbx>
                      <w:txbxContent>
                        <w:p w14:paraId="1331428B" w14:textId="36413548" w:rsidR="004D2353" w:rsidRPr="004D2353" w:rsidRDefault="004D2353">
                          <w:pPr>
                            <w:rPr>
                              <w:sz w:val="18"/>
                              <w:szCs w:val="18"/>
                              <w:lang w:val="es-ES"/>
                            </w:rPr>
                          </w:pPr>
                          <w:r>
                            <w:rPr>
                              <w:sz w:val="18"/>
                              <w:szCs w:val="18"/>
                              <w:lang w:val="es-ES"/>
                            </w:rPr>
                            <w:t>COLEGIO SANTA MARÍA DE SANTIAGO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DDA104" id="_x0000_t202" coordsize="21600,21600" o:spt="202" path="m,l,21600r21600,l21600,xe">
              <v:stroke joinstyle="miter"/>
              <v:path gradientshapeok="t" o:connecttype="rect"/>
            </v:shapetype>
            <v:shape id="Cuadro de texto 2" o:spid="_x0000_s1026" type="#_x0000_t202" style="position:absolute;margin-left:35.7pt;margin-top:5.1pt;width:185.25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" fillcolor="white [3201]" stroked="f" strokeweight=".5pt">
              <v:textbox>
                <w:txbxContent>
                  <w:p w14:paraId="1331428B" w14:textId="36413548" w:rsidR="004D2353" w:rsidRPr="004D2353" w:rsidRDefault="004D2353">
                    <w:pPr>
                      <w:rPr>
                        <w:sz w:val="18"/>
                        <w:szCs w:val="18"/>
                        <w:lang w:val="es-ES"/>
                      </w:rPr>
                    </w:pPr>
                    <w:r>
                      <w:rPr>
                        <w:sz w:val="18"/>
                        <w:szCs w:val="18"/>
                        <w:lang w:val="es-ES"/>
                      </w:rPr>
                      <w:t>COLEGIO SANTA MARÍA DE SANTIAGO</w:t>
                    </w:r>
                  </w:p>
                </w:txbxContent>
              </v:textbox>
            </v:shape>
          </w:pict>
        </mc:Fallback>
      </mc:AlternateContent>
    </w:r>
    <w:r>
      <w:rPr>
        <w:noProof/>
      </w:rPr>
      <w:drawing>
        <wp:inline distT="0" distB="0" distL="0" distR="0" wp14:anchorId="4FF66B76" wp14:editId="3ABA869B">
          <wp:extent cx="352425" cy="487627"/>
          <wp:effectExtent l="0" t="0" r="0" b="8255"/>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58477" cy="496001"/>
                  </a:xfrm>
                  <a:prstGeom prst="rect">
                    <a:avLst/>
                  </a:prstGeom>
                </pic:spPr>
              </pic:pic>
            </a:graphicData>
          </a:graphic>
        </wp:inline>
      </w:drawing>
    </w:r>
  </w:p>
  <w:p w14:paraId="5B8044F8" w14:textId="77777777" w:rsidR="004D2353" w:rsidRDefault="004D23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4E53"/>
    <w:multiLevelType w:val="hybridMultilevel"/>
    <w:tmpl w:val="3BA800EC"/>
    <w:lvl w:ilvl="0" w:tplc="FAE6F186">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D982A19"/>
    <w:multiLevelType w:val="hybridMultilevel"/>
    <w:tmpl w:val="AE9ADFC0"/>
    <w:lvl w:ilvl="0" w:tplc="0D7463C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4F24EC0"/>
    <w:multiLevelType w:val="hybridMultilevel"/>
    <w:tmpl w:val="FFE23E2C"/>
    <w:lvl w:ilvl="0" w:tplc="923A2EE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7244D06"/>
    <w:multiLevelType w:val="hybridMultilevel"/>
    <w:tmpl w:val="57E2E234"/>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00C0FFF"/>
    <w:multiLevelType w:val="hybridMultilevel"/>
    <w:tmpl w:val="E720592A"/>
    <w:lvl w:ilvl="0" w:tplc="387E9D38">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25900419">
    <w:abstractNumId w:val="2"/>
  </w:num>
  <w:num w:numId="2" w16cid:durableId="983657062">
    <w:abstractNumId w:val="1"/>
  </w:num>
  <w:num w:numId="3" w16cid:durableId="979072004">
    <w:abstractNumId w:val="4"/>
  </w:num>
  <w:num w:numId="4" w16cid:durableId="1960405422">
    <w:abstractNumId w:val="0"/>
  </w:num>
  <w:num w:numId="5" w16cid:durableId="72240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53"/>
    <w:rsid w:val="00051205"/>
    <w:rsid w:val="000622C4"/>
    <w:rsid w:val="00067602"/>
    <w:rsid w:val="000875AB"/>
    <w:rsid w:val="00093FFA"/>
    <w:rsid w:val="000967C2"/>
    <w:rsid w:val="000B021B"/>
    <w:rsid w:val="000E4A4D"/>
    <w:rsid w:val="0010286C"/>
    <w:rsid w:val="00104D5E"/>
    <w:rsid w:val="00121D94"/>
    <w:rsid w:val="00162838"/>
    <w:rsid w:val="00167B9E"/>
    <w:rsid w:val="00167BE2"/>
    <w:rsid w:val="00175FF5"/>
    <w:rsid w:val="001770A2"/>
    <w:rsid w:val="00195FA9"/>
    <w:rsid w:val="001B2287"/>
    <w:rsid w:val="001C38C6"/>
    <w:rsid w:val="001C4F7F"/>
    <w:rsid w:val="001D7258"/>
    <w:rsid w:val="001D78A1"/>
    <w:rsid w:val="001E3A09"/>
    <w:rsid w:val="001E4AD5"/>
    <w:rsid w:val="00206ECD"/>
    <w:rsid w:val="00212EE2"/>
    <w:rsid w:val="002302BB"/>
    <w:rsid w:val="002304FE"/>
    <w:rsid w:val="0024408B"/>
    <w:rsid w:val="002613A2"/>
    <w:rsid w:val="00264E73"/>
    <w:rsid w:val="00265B9D"/>
    <w:rsid w:val="0027664B"/>
    <w:rsid w:val="00290374"/>
    <w:rsid w:val="002C20B7"/>
    <w:rsid w:val="002C46FC"/>
    <w:rsid w:val="002D1078"/>
    <w:rsid w:val="002D50D7"/>
    <w:rsid w:val="002F1F44"/>
    <w:rsid w:val="00324EB2"/>
    <w:rsid w:val="00356DF9"/>
    <w:rsid w:val="00357759"/>
    <w:rsid w:val="003619DD"/>
    <w:rsid w:val="003659F4"/>
    <w:rsid w:val="003667E3"/>
    <w:rsid w:val="003772FC"/>
    <w:rsid w:val="00384D6A"/>
    <w:rsid w:val="003A636F"/>
    <w:rsid w:val="003B718A"/>
    <w:rsid w:val="003D3594"/>
    <w:rsid w:val="003D61D4"/>
    <w:rsid w:val="003E0932"/>
    <w:rsid w:val="003E7B4C"/>
    <w:rsid w:val="00401D34"/>
    <w:rsid w:val="00405655"/>
    <w:rsid w:val="00406834"/>
    <w:rsid w:val="00412FF8"/>
    <w:rsid w:val="00420682"/>
    <w:rsid w:val="00436D30"/>
    <w:rsid w:val="00436EE0"/>
    <w:rsid w:val="004371D3"/>
    <w:rsid w:val="00441656"/>
    <w:rsid w:val="004569B3"/>
    <w:rsid w:val="004647BD"/>
    <w:rsid w:val="00466543"/>
    <w:rsid w:val="00477CD7"/>
    <w:rsid w:val="00480BE6"/>
    <w:rsid w:val="0049388D"/>
    <w:rsid w:val="004A6A49"/>
    <w:rsid w:val="004B2EA9"/>
    <w:rsid w:val="004C436C"/>
    <w:rsid w:val="004D2353"/>
    <w:rsid w:val="004E0D5E"/>
    <w:rsid w:val="004E3B0B"/>
    <w:rsid w:val="004E3DEB"/>
    <w:rsid w:val="005120EC"/>
    <w:rsid w:val="0054025C"/>
    <w:rsid w:val="0057503A"/>
    <w:rsid w:val="005A7E02"/>
    <w:rsid w:val="005B059C"/>
    <w:rsid w:val="005B1188"/>
    <w:rsid w:val="005B18F3"/>
    <w:rsid w:val="005B68E4"/>
    <w:rsid w:val="005C5381"/>
    <w:rsid w:val="005D5243"/>
    <w:rsid w:val="005D6CC4"/>
    <w:rsid w:val="005F019E"/>
    <w:rsid w:val="005F55C3"/>
    <w:rsid w:val="00601883"/>
    <w:rsid w:val="00605659"/>
    <w:rsid w:val="006172CC"/>
    <w:rsid w:val="006250D7"/>
    <w:rsid w:val="00630724"/>
    <w:rsid w:val="006347C0"/>
    <w:rsid w:val="00647BCE"/>
    <w:rsid w:val="00651CB2"/>
    <w:rsid w:val="006620C8"/>
    <w:rsid w:val="006650ED"/>
    <w:rsid w:val="0066638E"/>
    <w:rsid w:val="006768E2"/>
    <w:rsid w:val="00683003"/>
    <w:rsid w:val="00686583"/>
    <w:rsid w:val="006A147C"/>
    <w:rsid w:val="006B03A8"/>
    <w:rsid w:val="006B4A1D"/>
    <w:rsid w:val="006D7241"/>
    <w:rsid w:val="006E0BB3"/>
    <w:rsid w:val="006F778D"/>
    <w:rsid w:val="00707813"/>
    <w:rsid w:val="007107F3"/>
    <w:rsid w:val="007533BD"/>
    <w:rsid w:val="00767BE9"/>
    <w:rsid w:val="00775702"/>
    <w:rsid w:val="007B1378"/>
    <w:rsid w:val="007B28ED"/>
    <w:rsid w:val="007B780D"/>
    <w:rsid w:val="007C2D86"/>
    <w:rsid w:val="007C568F"/>
    <w:rsid w:val="007D0C04"/>
    <w:rsid w:val="007E2BFB"/>
    <w:rsid w:val="007E7FC3"/>
    <w:rsid w:val="007F20DD"/>
    <w:rsid w:val="007F5B80"/>
    <w:rsid w:val="0082746E"/>
    <w:rsid w:val="00833532"/>
    <w:rsid w:val="0084012C"/>
    <w:rsid w:val="00844B3A"/>
    <w:rsid w:val="008458C2"/>
    <w:rsid w:val="0084608B"/>
    <w:rsid w:val="008702F6"/>
    <w:rsid w:val="00871183"/>
    <w:rsid w:val="00874F47"/>
    <w:rsid w:val="0089673A"/>
    <w:rsid w:val="00896A7A"/>
    <w:rsid w:val="008B2A02"/>
    <w:rsid w:val="008D0078"/>
    <w:rsid w:val="008E0687"/>
    <w:rsid w:val="008E75B0"/>
    <w:rsid w:val="008E75D8"/>
    <w:rsid w:val="008F29D4"/>
    <w:rsid w:val="00911E54"/>
    <w:rsid w:val="00920101"/>
    <w:rsid w:val="009212D7"/>
    <w:rsid w:val="00923170"/>
    <w:rsid w:val="00940DF5"/>
    <w:rsid w:val="0096796D"/>
    <w:rsid w:val="00970BAB"/>
    <w:rsid w:val="00985715"/>
    <w:rsid w:val="00986768"/>
    <w:rsid w:val="009B06A4"/>
    <w:rsid w:val="009B5C44"/>
    <w:rsid w:val="009C04AE"/>
    <w:rsid w:val="009C16B1"/>
    <w:rsid w:val="009D7070"/>
    <w:rsid w:val="009D75AE"/>
    <w:rsid w:val="009E0297"/>
    <w:rsid w:val="009E2C0B"/>
    <w:rsid w:val="009E5708"/>
    <w:rsid w:val="009F6D4D"/>
    <w:rsid w:val="009F76D0"/>
    <w:rsid w:val="00A1761C"/>
    <w:rsid w:val="00A30860"/>
    <w:rsid w:val="00A41676"/>
    <w:rsid w:val="00A4304B"/>
    <w:rsid w:val="00A57AEE"/>
    <w:rsid w:val="00A76213"/>
    <w:rsid w:val="00A77487"/>
    <w:rsid w:val="00A85754"/>
    <w:rsid w:val="00A902EA"/>
    <w:rsid w:val="00A96E0B"/>
    <w:rsid w:val="00AA3BA9"/>
    <w:rsid w:val="00AA754F"/>
    <w:rsid w:val="00AE107B"/>
    <w:rsid w:val="00B11FC0"/>
    <w:rsid w:val="00B13736"/>
    <w:rsid w:val="00B335F4"/>
    <w:rsid w:val="00B337C0"/>
    <w:rsid w:val="00B378DE"/>
    <w:rsid w:val="00B37A62"/>
    <w:rsid w:val="00B42B89"/>
    <w:rsid w:val="00B631D1"/>
    <w:rsid w:val="00B67453"/>
    <w:rsid w:val="00B830FF"/>
    <w:rsid w:val="00B864E3"/>
    <w:rsid w:val="00B93125"/>
    <w:rsid w:val="00BB1647"/>
    <w:rsid w:val="00BB330B"/>
    <w:rsid w:val="00BB4EA3"/>
    <w:rsid w:val="00BD4849"/>
    <w:rsid w:val="00BE20C2"/>
    <w:rsid w:val="00BF3B83"/>
    <w:rsid w:val="00C05D47"/>
    <w:rsid w:val="00C078E7"/>
    <w:rsid w:val="00C12473"/>
    <w:rsid w:val="00C22E5C"/>
    <w:rsid w:val="00C2460C"/>
    <w:rsid w:val="00C314DF"/>
    <w:rsid w:val="00C7189B"/>
    <w:rsid w:val="00CA0183"/>
    <w:rsid w:val="00CB02E6"/>
    <w:rsid w:val="00D0292B"/>
    <w:rsid w:val="00D10CB1"/>
    <w:rsid w:val="00D2232A"/>
    <w:rsid w:val="00D22CF8"/>
    <w:rsid w:val="00D25C4B"/>
    <w:rsid w:val="00D338F6"/>
    <w:rsid w:val="00D33E58"/>
    <w:rsid w:val="00D34254"/>
    <w:rsid w:val="00D3560E"/>
    <w:rsid w:val="00D4119F"/>
    <w:rsid w:val="00D422C5"/>
    <w:rsid w:val="00D43787"/>
    <w:rsid w:val="00D94C6E"/>
    <w:rsid w:val="00DA5744"/>
    <w:rsid w:val="00DB0462"/>
    <w:rsid w:val="00DF2BF4"/>
    <w:rsid w:val="00DF7A9B"/>
    <w:rsid w:val="00E21DA9"/>
    <w:rsid w:val="00E25F12"/>
    <w:rsid w:val="00E30F6D"/>
    <w:rsid w:val="00E31BF1"/>
    <w:rsid w:val="00E4336A"/>
    <w:rsid w:val="00E51643"/>
    <w:rsid w:val="00E60D3C"/>
    <w:rsid w:val="00E614A4"/>
    <w:rsid w:val="00E65920"/>
    <w:rsid w:val="00E727BC"/>
    <w:rsid w:val="00E82520"/>
    <w:rsid w:val="00EC6918"/>
    <w:rsid w:val="00ED6FC2"/>
    <w:rsid w:val="00EE2A15"/>
    <w:rsid w:val="00EF0785"/>
    <w:rsid w:val="00F37231"/>
    <w:rsid w:val="00F42AC2"/>
    <w:rsid w:val="00F43D57"/>
    <w:rsid w:val="00F64460"/>
    <w:rsid w:val="00FA2168"/>
    <w:rsid w:val="00FA36A0"/>
    <w:rsid w:val="00FA58CC"/>
    <w:rsid w:val="00FB4F64"/>
    <w:rsid w:val="00FC133B"/>
    <w:rsid w:val="00FC5784"/>
    <w:rsid w:val="00FE798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1FA31"/>
  <w15:chartTrackingRefBased/>
  <w15:docId w15:val="{7B4E9500-7CDE-457D-BF0A-260E6BD0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23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2353"/>
  </w:style>
  <w:style w:type="paragraph" w:styleId="Piedepgina">
    <w:name w:val="footer"/>
    <w:basedOn w:val="Normal"/>
    <w:link w:val="PiedepginaCar"/>
    <w:uiPriority w:val="99"/>
    <w:unhideWhenUsed/>
    <w:rsid w:val="004D23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2353"/>
  </w:style>
  <w:style w:type="paragraph" w:styleId="Prrafodelista">
    <w:name w:val="List Paragraph"/>
    <w:basedOn w:val="Normal"/>
    <w:uiPriority w:val="34"/>
    <w:qFormat/>
    <w:rsid w:val="004E0D5E"/>
    <w:pPr>
      <w:ind w:left="720"/>
      <w:contextualSpacing/>
    </w:pPr>
  </w:style>
  <w:style w:type="table" w:styleId="Tablaconcuadrcula">
    <w:name w:val="Table Grid"/>
    <w:basedOn w:val="Tablanormal"/>
    <w:uiPriority w:val="39"/>
    <w:rsid w:val="00DF2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4</Pages>
  <Words>1257</Words>
  <Characters>6919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Abello</dc:creator>
  <cp:keywords/>
  <dc:description/>
  <cp:lastModifiedBy>Soporte Santa María</cp:lastModifiedBy>
  <cp:revision>236</cp:revision>
  <cp:lastPrinted>2022-09-26T16:55:00Z</cp:lastPrinted>
  <dcterms:created xsi:type="dcterms:W3CDTF">2022-09-23T12:52:00Z</dcterms:created>
  <dcterms:modified xsi:type="dcterms:W3CDTF">2023-04-20T19:06:00Z</dcterms:modified>
</cp:coreProperties>
</file>